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ab/>
        <w:tab/>
        <w:tab/>
        <w:tab/>
        <w:tab/>
        <w:tab/>
        <w:tab/>
        <w:tab/>
        <w:tab/>
        <w:tab/>
        <w:t>March 20, 2001</w:t>
      </w:r>
    </w:p>
    <w:p>
      <w:pPr>
        <w:pStyle w:val="Normal"/>
        <w:rPr/>
      </w:pPr>
      <w:r>
        <w:rPr/>
      </w:r>
    </w:p>
    <w:p>
      <w:pPr>
        <w:pStyle w:val="Normal"/>
        <w:rPr/>
      </w:pPr>
      <w:r>
        <w:rPr/>
        <w:t>Raymond S. Kindley</w:t>
      </w:r>
    </w:p>
    <w:p>
      <w:pPr>
        <w:pStyle w:val="Normal"/>
        <w:rPr/>
      </w:pPr>
      <w:r>
        <w:rPr/>
        <w:t>Schwabe, Williamson &amp; Wyatt</w:t>
      </w:r>
    </w:p>
    <w:p>
      <w:pPr>
        <w:pStyle w:val="Normal"/>
        <w:rPr/>
      </w:pPr>
      <w:r>
        <w:rPr/>
        <w:t>1211 SW. Fifth Avenue, Suite 1700</w:t>
      </w:r>
    </w:p>
    <w:p>
      <w:pPr>
        <w:pStyle w:val="Normal"/>
        <w:rPr/>
      </w:pPr>
      <w:r>
        <w:rPr/>
        <w:t>Portland, OR  97204</w:t>
      </w:r>
    </w:p>
    <w:p>
      <w:pPr>
        <w:pStyle w:val="Normal"/>
        <w:rPr/>
      </w:pPr>
      <w:r>
        <w:rPr/>
      </w:r>
    </w:p>
    <w:p>
      <w:pPr>
        <w:pStyle w:val="Normal"/>
        <w:rPr/>
      </w:pPr>
      <w:r>
        <w:rPr/>
      </w:r>
    </w:p>
    <w:p>
      <w:pPr>
        <w:pStyle w:val="Normal"/>
        <w:jc w:val="center"/>
        <w:rPr>
          <w:u w:val="single"/>
        </w:rPr>
      </w:pPr>
      <w:r>
        <w:rPr>
          <w:u w:val="single"/>
        </w:rPr>
        <w:t>DATA RESPONSE</w:t>
      </w:r>
    </w:p>
    <w:p>
      <w:pPr>
        <w:pStyle w:val="Normal"/>
        <w:rPr/>
      </w:pPr>
      <w:r>
        <w:rPr/>
        <w:t>Request:</w:t>
      </w:r>
    </w:p>
    <w:p>
      <w:pPr>
        <w:pStyle w:val="Normal"/>
        <w:rPr/>
      </w:pPr>
      <w:r>
        <w:rPr/>
        <w:t>Exhibit:</w:t>
        <w:tab/>
        <w:tab/>
        <w:t>WP-02-E-SP-02</w:t>
        <w:tab/>
        <w:tab/>
      </w:r>
    </w:p>
    <w:p>
      <w:pPr>
        <w:pStyle w:val="Normal"/>
        <w:rPr/>
      </w:pPr>
      <w:r>
        <w:rPr/>
        <w:t>Testimony of:</w:t>
        <w:tab/>
        <w:tab/>
        <w:t>Nelson</w:t>
      </w:r>
    </w:p>
    <w:p>
      <w:pPr>
        <w:pStyle w:val="Normal"/>
        <w:rPr/>
      </w:pPr>
      <w:r>
        <w:rPr/>
        <w:t>Page(s):</w:t>
        <w:tab/>
        <w:tab/>
        <w:t>15 lines 19-20, 23, 25-26 and page 16 lines 8, 11 and 13</w:t>
      </w:r>
    </w:p>
    <w:p>
      <w:pPr>
        <w:pStyle w:val="Normal"/>
        <w:rPr/>
      </w:pPr>
      <w:r>
        <w:rPr/>
        <w:t>Line(s):</w:t>
        <w:tab/>
        <w:tab/>
      </w:r>
    </w:p>
    <w:p>
      <w:pPr>
        <w:pStyle w:val="Normal"/>
        <w:rPr/>
      </w:pPr>
      <w:r>
        <w:rPr/>
      </w:r>
    </w:p>
    <w:p>
      <w:pPr>
        <w:pStyle w:val="Normal"/>
        <w:rPr/>
      </w:pPr>
      <w:r>
        <w:rPr/>
        <w:t>Please define the phrase “BPA’s actual augmentation costs” you use in each of these citations and how BPA’s Supplemental Proposal for a LB CRAC could “under-recover” them (page 15 line 25).</w:t>
      </w:r>
    </w:p>
    <w:p>
      <w:pPr>
        <w:pStyle w:val="Normal"/>
        <w:rPr/>
      </w:pPr>
      <w:r>
        <w:rPr/>
      </w:r>
    </w:p>
    <w:p>
      <w:pPr>
        <w:pStyle w:val="Normal"/>
        <w:rPr/>
      </w:pPr>
      <w:r>
        <w:rPr/>
        <w:t>Response:</w:t>
      </w:r>
    </w:p>
    <w:p>
      <w:pPr>
        <w:pStyle w:val="Normal"/>
        <w:rPr/>
      </w:pPr>
      <w:r>
        <w:rPr/>
        <w:t>BPA’s actual augmentation costs would be the net cost of power purchases BPA experiences to meet the firm contracted load needs of subscription customers above the loads assumed in the May proposal and including any changes in costs for power purchases to meet firm load estimated in the May proposal which were not purchased at the forecasted market price in the May proposal.</w:t>
      </w:r>
    </w:p>
    <w:p>
      <w:pPr>
        <w:pStyle w:val="Normal"/>
        <w:rPr/>
      </w:pPr>
      <w:r>
        <w:rPr/>
      </w:r>
    </w:p>
    <w:p>
      <w:pPr>
        <w:pStyle w:val="Normal"/>
        <w:rPr/>
      </w:pPr>
      <w:r>
        <w:rPr/>
        <w:t>This definition is the same in all references cited in the data request.</w:t>
      </w:r>
    </w:p>
    <w:p>
      <w:pPr>
        <w:pStyle w:val="Normal"/>
        <w:rPr/>
      </w:pPr>
      <w:r>
        <w:rPr/>
      </w:r>
    </w:p>
    <w:p>
      <w:pPr>
        <w:pStyle w:val="Normal"/>
        <w:rPr/>
      </w:pPr>
      <w:r>
        <w:rPr/>
        <w:t>Two examples of how the proposed LB CRAC could under recover actual augmentation costs are:</w:t>
      </w:r>
    </w:p>
    <w:p>
      <w:pPr>
        <w:pStyle w:val="Normal"/>
        <w:rPr/>
      </w:pPr>
      <w:r>
        <w:rPr/>
      </w:r>
    </w:p>
    <w:p>
      <w:pPr>
        <w:pStyle w:val="Normal"/>
        <w:numPr>
          <w:ilvl w:val="0"/>
          <w:numId w:val="1"/>
        </w:numPr>
        <w:rPr/>
      </w:pPr>
      <w:r>
        <w:rPr/>
        <w:t>The distinction between costs which are related to augmentation purchases (purchases made 120 days prior to a month) and balancing purchases (other purchases made for a month) is arbitrary.</w:t>
      </w:r>
    </w:p>
    <w:p>
      <w:pPr>
        <w:pStyle w:val="Normal"/>
        <w:numPr>
          <w:ilvl w:val="0"/>
          <w:numId w:val="1"/>
        </w:numPr>
        <w:rPr/>
      </w:pPr>
      <w:r>
        <w:rPr/>
        <w:t>Due to the rapid development of the proposed LB CRAC, SUB is concerned there may be errors in its construction.</w:t>
      </w:r>
    </w:p>
    <w:p>
      <w:pPr>
        <w:pStyle w:val="Normal"/>
        <w:rPr/>
      </w:pPr>
      <w:r>
        <w:rPr/>
      </w:r>
    </w:p>
    <w:p>
      <w:pPr>
        <w:pStyle w:val="Normal"/>
        <w:rPr/>
      </w:pPr>
      <w:r>
        <w:rPr/>
        <w:t xml:space="preserve">Should the LB CRAC methodology or General Rate Schedule Provisions change, the likelihood of the LB CRAC recovering actual augmentation costs may change. </w:t>
      </w:r>
    </w:p>
    <w:p>
      <w:pPr>
        <w:pStyle w:val="Normal"/>
        <w:rPr/>
      </w:pPr>
      <w:r>
        <w:rPr/>
      </w:r>
    </w:p>
    <w:p>
      <w:pPr>
        <w:pStyle w:val="Normal"/>
        <w:rPr/>
      </w:pPr>
      <w:r>
        <w:rPr/>
        <w:t>Please also refer to Data Response DS-SP:002.</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DATA RESPONSE – SL-SP:006</w:t>
    </w:r>
  </w:p>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jc w:val="end"/>
      <w:rPr/>
    </w:pPr>
    <w:r>
      <w:rPr>
        <w:rStyle w:val="PageNumber"/>
      </w:rPr>
      <w:t>cc: Service List (via electronic copy)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2001-03-21T19:58:00Z</dcterms:created>
  <dc:creator>Preferred Customer</dc:creator>
  <dc:description/>
  <dc:language>en-CA</dc:language>
  <cp:lastModifiedBy>Preferred Customer</cp:lastModifiedBy>
  <cp:lastPrinted>2001-03-21T15:09:00Z</cp:lastPrinted>
  <dcterms:modified xsi:type="dcterms:W3CDTF">2001-03-21T20:39:00Z</dcterms:modified>
  <cp:revision>5</cp:revision>
  <dc:subject/>
  <dc:title>BPA’s question assumes the HLH average monthly load of 100aMW is a known quantity in the determination of how a customer operates resources on a particular day</dc:title>
</cp:coreProperties>
</file>