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tab/>
        <w:tab/>
        <w:tab/>
        <w:tab/>
        <w:tab/>
        <w:tab/>
        <w:tab/>
        <w:tab/>
        <w:tab/>
        <w:tab/>
        <w:t>March 20, 2001</w:t>
      </w:r>
    </w:p>
    <w:p>
      <w:pPr>
        <w:pStyle w:val="Normal"/>
        <w:rPr/>
      </w:pPr>
      <w:r>
        <w:rPr/>
      </w:r>
    </w:p>
    <w:p>
      <w:pPr>
        <w:pStyle w:val="Normal"/>
        <w:rPr/>
      </w:pPr>
      <w:r>
        <w:rPr/>
        <w:t>Raymond S. Kindley</w:t>
      </w:r>
    </w:p>
    <w:p>
      <w:pPr>
        <w:pStyle w:val="Normal"/>
        <w:rPr/>
      </w:pPr>
      <w:r>
        <w:rPr/>
        <w:t>Schwabe, Williamson &amp; Wyatt</w:t>
      </w:r>
    </w:p>
    <w:p>
      <w:pPr>
        <w:pStyle w:val="Normal"/>
        <w:rPr/>
      </w:pPr>
      <w:r>
        <w:rPr/>
        <w:t>1211 SW. Fifth Avenue, Suite 1700</w:t>
      </w:r>
    </w:p>
    <w:p>
      <w:pPr>
        <w:pStyle w:val="Normal"/>
        <w:rPr/>
      </w:pPr>
      <w:r>
        <w:rPr/>
        <w:t>Portland, OR  97204</w:t>
      </w:r>
    </w:p>
    <w:p>
      <w:pPr>
        <w:pStyle w:val="Normal"/>
        <w:rPr/>
      </w:pPr>
      <w:r>
        <w:rPr/>
      </w:r>
    </w:p>
    <w:p>
      <w:pPr>
        <w:pStyle w:val="Normal"/>
        <w:rPr/>
      </w:pPr>
      <w:r>
        <w:rPr/>
      </w:r>
    </w:p>
    <w:p>
      <w:pPr>
        <w:pStyle w:val="Normal"/>
        <w:jc w:val="center"/>
        <w:rPr>
          <w:u w:val="single"/>
        </w:rPr>
      </w:pPr>
      <w:r>
        <w:rPr>
          <w:u w:val="single"/>
        </w:rPr>
        <w:t>DATA RESPONSE</w:t>
      </w:r>
    </w:p>
    <w:p>
      <w:pPr>
        <w:pStyle w:val="Normal"/>
        <w:rPr/>
      </w:pPr>
      <w:r>
        <w:rPr/>
        <w:t>Request:</w:t>
      </w:r>
    </w:p>
    <w:p>
      <w:pPr>
        <w:pStyle w:val="Normal"/>
        <w:rPr/>
      </w:pPr>
      <w:r>
        <w:rPr/>
        <w:t>Exhibit:</w:t>
        <w:tab/>
        <w:tab/>
        <w:t>WP-02-E-SP-02</w:t>
        <w:tab/>
        <w:tab/>
      </w:r>
    </w:p>
    <w:p>
      <w:pPr>
        <w:pStyle w:val="Normal"/>
        <w:rPr/>
      </w:pPr>
      <w:r>
        <w:rPr/>
        <w:t>Testimony of:</w:t>
        <w:tab/>
        <w:tab/>
        <w:t>Nelson</w:t>
      </w:r>
    </w:p>
    <w:p>
      <w:pPr>
        <w:pStyle w:val="Normal"/>
        <w:rPr/>
      </w:pPr>
      <w:r>
        <w:rPr/>
        <w:t>Page(s):</w:t>
        <w:tab/>
        <w:tab/>
        <w:t>15</w:t>
      </w:r>
    </w:p>
    <w:p>
      <w:pPr>
        <w:pStyle w:val="Normal"/>
        <w:rPr/>
      </w:pPr>
      <w:r>
        <w:rPr/>
        <w:t>Line(s):</w:t>
        <w:tab/>
        <w:tab/>
        <w:t>3-4</w:t>
      </w:r>
    </w:p>
    <w:p>
      <w:pPr>
        <w:pStyle w:val="Normal"/>
        <w:rPr/>
      </w:pPr>
      <w:r>
        <w:rPr/>
      </w:r>
    </w:p>
    <w:p>
      <w:pPr>
        <w:pStyle w:val="Normal"/>
        <w:rPr/>
      </w:pPr>
      <w:r>
        <w:rPr/>
        <w:t>Under SUB’s proposal that “The LB CRAC for Slice customers would remain as if no load such (sic) reduction occurred” would the Slice LB CRAC be reduced to reflect reductions in DSI loads and loads exempt from the LB CRAC?  Would this also exempt the Slice LB CRAC from increasing if it turns out BPA has again under-estimated its augmentation needs?</w:t>
      </w:r>
    </w:p>
    <w:p>
      <w:pPr>
        <w:pStyle w:val="Normal"/>
        <w:rPr/>
      </w:pPr>
      <w:r>
        <w:rPr/>
      </w:r>
    </w:p>
    <w:p>
      <w:pPr>
        <w:pStyle w:val="Normal"/>
        <w:rPr/>
      </w:pPr>
      <w:r>
        <w:rPr/>
        <w:t>Response:</w:t>
      </w:r>
    </w:p>
    <w:p>
      <w:pPr>
        <w:pStyle w:val="Normal"/>
        <w:rPr/>
      </w:pPr>
      <w:r>
        <w:rPr/>
        <w:t>Under SUB’s proposal, the Slice LB CRAC would be reduced to reflect reductions in DSI loads.  The Slice LB CRAC would be reduced for all load loss served by subscription contracts with the exception of those subscription contracts that have products with load following service (e.g. simple partial or full service products).  If a Slice customer had its entitlement reduced to reflect load loss which reduced BPA’s obligation to serve (similar to a reduction in BPA’s obligation to serve if load loss occurs with a customer that has a simple partial or full service product), the Slice customer would be able to have its LB CRAC reduced for all load loss served by subscription contracts – identical to LB CRAC treatment for full and partial service customers.</w:t>
      </w:r>
    </w:p>
    <w:p>
      <w:pPr>
        <w:pStyle w:val="Normal"/>
        <w:rPr/>
      </w:pPr>
      <w:r>
        <w:rPr/>
      </w:r>
    </w:p>
    <w:p>
      <w:pPr>
        <w:pStyle w:val="Normal"/>
        <w:rPr/>
      </w:pPr>
      <w:r>
        <w:rPr/>
        <w:t xml:space="preserve">It would not exempt the Slice LB CRAC from increasing if it turns out BPA has under-estimated its augmentation needs. </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DATA RESPONSE – SL-SP:005</w:t>
    </w:r>
  </w:p>
  <w:p>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w:t>
    </w:r>
    <w:r>
      <w:rPr>
        <w:rStyle w:val="PageNumber"/>
      </w:rPr>
      <w:fldChar w:fldCharType="end"/>
    </w:r>
  </w:p>
  <w:p>
    <w:pPr>
      <w:pStyle w:val="Footer"/>
      <w:jc w:val="end"/>
      <w:rPr/>
    </w:pPr>
    <w:r>
      <w:rPr>
        <w:rStyle w:val="PageNumber"/>
      </w:rPr>
      <w:t>cc: Service List (via electronic copy)</w: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2001-03-21T18:39:00Z</dcterms:created>
  <dc:creator>Preferred Customer</dc:creator>
  <dc:description/>
  <dc:language>en-CA</dc:language>
  <cp:lastModifiedBy>Preferred Customer</cp:lastModifiedBy>
  <cp:lastPrinted>2001-03-21T15:08:00Z</cp:lastPrinted>
  <dcterms:modified xsi:type="dcterms:W3CDTF">2001-03-21T20:39:00Z</dcterms:modified>
  <cp:revision>6</cp:revision>
  <dc:subject/>
  <dc:title>BPA’s question assumes the HLH average monthly load of 100aMW is a known quantity in the determination of how a customer operates resources on a particular day</dc:title>
</cp:coreProperties>
</file>