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tab/>
        <w:tab/>
        <w:tab/>
        <w:tab/>
        <w:tab/>
        <w:tab/>
        <w:tab/>
        <w:tab/>
        <w:tab/>
        <w:tab/>
        <w:t>March 20, 2001</w:t>
      </w:r>
    </w:p>
    <w:p>
      <w:pPr>
        <w:pStyle w:val="Normal"/>
        <w:rPr/>
      </w:pPr>
      <w:r>
        <w:rPr/>
      </w:r>
    </w:p>
    <w:p>
      <w:pPr>
        <w:pStyle w:val="Normal"/>
        <w:rPr/>
      </w:pPr>
      <w:r>
        <w:rPr/>
        <w:t>Raymond S. Kindley</w:t>
      </w:r>
    </w:p>
    <w:p>
      <w:pPr>
        <w:pStyle w:val="Normal"/>
        <w:rPr/>
      </w:pPr>
      <w:r>
        <w:rPr/>
        <w:t>Schwabe, Williamson &amp; Wyatt</w:t>
      </w:r>
    </w:p>
    <w:p>
      <w:pPr>
        <w:pStyle w:val="Normal"/>
        <w:rPr/>
      </w:pPr>
      <w:r>
        <w:rPr/>
        <w:t>1211 SW. Fifth Avenue, Suite 1700</w:t>
      </w:r>
    </w:p>
    <w:p>
      <w:pPr>
        <w:pStyle w:val="Normal"/>
        <w:rPr/>
      </w:pPr>
      <w:r>
        <w:rPr/>
        <w:t>Portland, OR  97204</w:t>
      </w:r>
    </w:p>
    <w:p>
      <w:pPr>
        <w:pStyle w:val="Normal"/>
        <w:rPr/>
      </w:pPr>
      <w:r>
        <w:rPr/>
      </w:r>
    </w:p>
    <w:p>
      <w:pPr>
        <w:pStyle w:val="Normal"/>
        <w:rPr/>
      </w:pPr>
      <w:r>
        <w:rPr/>
      </w:r>
    </w:p>
    <w:p>
      <w:pPr>
        <w:pStyle w:val="Normal"/>
        <w:jc w:val="center"/>
        <w:rPr>
          <w:u w:val="single"/>
        </w:rPr>
      </w:pPr>
      <w:r>
        <w:rPr>
          <w:u w:val="single"/>
        </w:rPr>
        <w:t>DATA RESPONSE</w:t>
      </w:r>
    </w:p>
    <w:p>
      <w:pPr>
        <w:pStyle w:val="Normal"/>
        <w:rPr/>
      </w:pPr>
      <w:r>
        <w:rPr/>
        <w:t>Request:</w:t>
        <w:tab/>
        <w:tab/>
      </w:r>
    </w:p>
    <w:p>
      <w:pPr>
        <w:pStyle w:val="Normal"/>
        <w:rPr/>
      </w:pPr>
      <w:r>
        <w:rPr/>
        <w:t>Exhibit:</w:t>
        <w:tab/>
        <w:tab/>
        <w:t>WP-02-E-SP-02</w:t>
        <w:tab/>
        <w:tab/>
      </w:r>
    </w:p>
    <w:p>
      <w:pPr>
        <w:pStyle w:val="Normal"/>
        <w:rPr/>
      </w:pPr>
      <w:r>
        <w:rPr/>
        <w:t>Testimony of:</w:t>
        <w:tab/>
        <w:tab/>
        <w:t>Nelson</w:t>
      </w:r>
    </w:p>
    <w:p>
      <w:pPr>
        <w:pStyle w:val="Normal"/>
        <w:rPr/>
      </w:pPr>
      <w:r>
        <w:rPr/>
        <w:t>Page(s):</w:t>
        <w:tab/>
        <w:tab/>
        <w:t>14</w:t>
      </w:r>
    </w:p>
    <w:p>
      <w:pPr>
        <w:pStyle w:val="Normal"/>
        <w:rPr/>
      </w:pPr>
      <w:r>
        <w:rPr/>
        <w:t>Line(s):</w:t>
        <w:tab/>
        <w:tab/>
        <w:t>1 and 2</w:t>
      </w:r>
    </w:p>
    <w:p>
      <w:pPr>
        <w:pStyle w:val="Normal"/>
        <w:rPr/>
      </w:pPr>
      <w:r>
        <w:rPr/>
        <w:tab/>
        <w:tab/>
      </w:r>
    </w:p>
    <w:p>
      <w:pPr>
        <w:pStyle w:val="Normal"/>
        <w:rPr/>
      </w:pPr>
      <w:r>
        <w:rPr/>
      </w:r>
    </w:p>
    <w:p>
      <w:pPr>
        <w:pStyle w:val="Normal"/>
        <w:rPr/>
      </w:pPr>
      <w:r>
        <w:rPr/>
        <w:t>Please reconcile the statement “Using 1936 runoff year values in the prior toolkit file, the FB CRAC is expected to trigger automatically” with the results of your toolkit runs cited on page 27 lines 26 and 27 where three of the six cases did not create starting reserves levels below the FB CRAC threshold, and with the BPA statement you quote in page 13 line 17 that this year “could” be the fourth lowest on record.</w:t>
      </w:r>
    </w:p>
    <w:p>
      <w:pPr>
        <w:pStyle w:val="Normal"/>
        <w:rPr/>
      </w:pPr>
      <w:r>
        <w:rPr/>
      </w:r>
    </w:p>
    <w:p>
      <w:pPr>
        <w:pStyle w:val="Normal"/>
        <w:rPr/>
      </w:pPr>
      <w:r>
        <w:rPr/>
        <w:t>Response:</w:t>
      </w:r>
    </w:p>
    <w:p>
      <w:pPr>
        <w:pStyle w:val="Normal"/>
        <w:rPr/>
      </w:pPr>
      <w:r>
        <w:rPr/>
        <w:t>Please see Data Response SL-SP:001.  Values in Prior Toolkit for FY 2001 ending reserves which are used for FY 2002 starting reserves do not change with different Toolkit runs.  BPA’s Toolkit runs use all 300 starting reserve values in Prior Toolkit which are based on 50 different water year conditions rather than reflect what is actually occurring with BPA forecasting a well below average, extremely poor runoff year.</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t>DATA RESPONSE – SL-SP:003</w:t>
    </w:r>
  </w:p>
  <w:p>
    <w:pPr>
      <w:pStyle w:val="Footer"/>
      <w:jc w:val="cen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1</w:t>
    </w:r>
    <w:r>
      <w:rPr>
        <w:rStyle w:val="PageNumber"/>
      </w:rPr>
      <w:fldChar w:fldCharType="end"/>
    </w:r>
  </w:p>
  <w:p>
    <w:pPr>
      <w:pStyle w:val="Footer"/>
      <w:jc w:val="end"/>
      <w:rPr/>
    </w:pPr>
    <w:r>
      <w:rPr>
        <w:rStyle w:val="PageNumber"/>
      </w:rPr>
      <w:t>cc: Service List (via electronic copy)</w:t>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2001-03-21T17:27:00Z</dcterms:created>
  <dc:creator>Preferred Customer</dc:creator>
  <dc:description/>
  <dc:language>en-CA</dc:language>
  <cp:lastModifiedBy>Preferred Customer</cp:lastModifiedBy>
  <cp:lastPrinted>2001-03-21T14:58:00Z</cp:lastPrinted>
  <dcterms:modified xsi:type="dcterms:W3CDTF">2001-03-21T20:29:00Z</dcterms:modified>
  <cp:revision>3</cp:revision>
  <dc:subject/>
  <dc:title>BPA’s question assumes the HLH average monthly load of 100aMW is a known quantity in the determination of how a customer operates resources on a particular day</dc:title>
</cp:coreProperties>
</file>