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tab/>
        <w:tab/>
        <w:tab/>
        <w:tab/>
        <w:tab/>
        <w:tab/>
        <w:tab/>
        <w:tab/>
        <w:tab/>
        <w:tab/>
        <w:t>March 20, 2001</w:t>
      </w:r>
    </w:p>
    <w:p>
      <w:pPr>
        <w:pStyle w:val="Normal"/>
        <w:rPr/>
      </w:pPr>
      <w:r>
        <w:rPr/>
      </w:r>
    </w:p>
    <w:p>
      <w:pPr>
        <w:pStyle w:val="Normal"/>
        <w:rPr/>
      </w:pPr>
      <w:r>
        <w:rPr/>
        <w:t>Raymond S. Kindley</w:t>
      </w:r>
    </w:p>
    <w:p>
      <w:pPr>
        <w:pStyle w:val="Normal"/>
        <w:rPr/>
      </w:pPr>
      <w:r>
        <w:rPr/>
        <w:t>Schwabe, Williamson &amp; Wyatt</w:t>
      </w:r>
    </w:p>
    <w:p>
      <w:pPr>
        <w:pStyle w:val="Normal"/>
        <w:rPr/>
      </w:pPr>
      <w:r>
        <w:rPr/>
        <w:t>1211 SW. Fifth Avenue, Suite 1700</w:t>
      </w:r>
    </w:p>
    <w:p>
      <w:pPr>
        <w:pStyle w:val="Normal"/>
        <w:rPr/>
      </w:pPr>
      <w:r>
        <w:rPr/>
        <w:t>Portland, OR  97204</w:t>
      </w:r>
    </w:p>
    <w:p>
      <w:pPr>
        <w:pStyle w:val="Normal"/>
        <w:rPr/>
      </w:pPr>
      <w:r>
        <w:rPr/>
      </w:r>
    </w:p>
    <w:p>
      <w:pPr>
        <w:pStyle w:val="Normal"/>
        <w:rPr/>
      </w:pPr>
      <w:r>
        <w:rPr/>
      </w:r>
    </w:p>
    <w:p>
      <w:pPr>
        <w:pStyle w:val="Normal"/>
        <w:jc w:val="center"/>
        <w:rPr>
          <w:u w:val="single"/>
        </w:rPr>
      </w:pPr>
      <w:r>
        <w:rPr>
          <w:u w:val="single"/>
        </w:rPr>
        <w:t>DATA RESPONSE</w:t>
      </w:r>
    </w:p>
    <w:p>
      <w:pPr>
        <w:pStyle w:val="Normal"/>
        <w:rPr/>
      </w:pPr>
      <w:r>
        <w:rPr/>
        <w:t>Request:</w:t>
        <w:tab/>
        <w:tab/>
      </w:r>
    </w:p>
    <w:p>
      <w:pPr>
        <w:pStyle w:val="Normal"/>
        <w:rPr/>
      </w:pPr>
      <w:r>
        <w:rPr/>
        <w:t>Exhibit:</w:t>
        <w:tab/>
        <w:tab/>
        <w:t>WP-02-E-SP-02</w:t>
        <w:tab/>
        <w:tab/>
      </w:r>
    </w:p>
    <w:p>
      <w:pPr>
        <w:pStyle w:val="Normal"/>
        <w:rPr/>
      </w:pPr>
      <w:r>
        <w:rPr/>
        <w:t>Testimony of:</w:t>
        <w:tab/>
        <w:tab/>
        <w:t>Nelson</w:t>
      </w:r>
    </w:p>
    <w:p>
      <w:pPr>
        <w:pStyle w:val="Normal"/>
        <w:rPr/>
      </w:pPr>
      <w:r>
        <w:rPr/>
        <w:t>Page(s):</w:t>
        <w:tab/>
        <w:tab/>
        <w:t>14 lines 4, 26 and 27; and page 16 lines 3, 7 and 14</w:t>
      </w:r>
    </w:p>
    <w:p>
      <w:pPr>
        <w:pStyle w:val="Normal"/>
        <w:rPr/>
      </w:pPr>
      <w:r>
        <w:rPr/>
        <w:tab/>
        <w:tab/>
      </w:r>
    </w:p>
    <w:p>
      <w:pPr>
        <w:pStyle w:val="Normal"/>
        <w:rPr/>
      </w:pPr>
      <w:r>
        <w:rPr/>
      </w:r>
    </w:p>
    <w:p>
      <w:pPr>
        <w:pStyle w:val="Normal"/>
        <w:rPr/>
      </w:pPr>
      <w:r>
        <w:rPr/>
        <w:t>You have repeatedly used the phrase “cost shift(s).”  BPA defines cost shift as a rate proposal that results in a higher five-year average rate increase including the effects of the dividend distribution clause in no-Slice cases compared to the 2000 aMW Slice cases (BPA-67 pages 5-31 through 5-37).  Is SUB’s testimony based on that same definition?  If not please provide SUB’s proposed alternative definition.</w:t>
      </w:r>
    </w:p>
    <w:p>
      <w:pPr>
        <w:pStyle w:val="Normal"/>
        <w:rPr/>
      </w:pPr>
      <w:r>
        <w:rPr/>
      </w:r>
    </w:p>
    <w:p>
      <w:pPr>
        <w:pStyle w:val="Normal"/>
        <w:rPr/>
      </w:pPr>
      <w:r>
        <w:rPr/>
        <w:t>For each of these uses of the phrase “cost shift” please provide the mathematical documentation of your assertion under the definition you are using (and identify any instances where you are not using the same definition for this phrase as the other instances).</w:t>
      </w:r>
    </w:p>
    <w:p>
      <w:pPr>
        <w:pStyle w:val="Normal"/>
        <w:rPr/>
      </w:pPr>
      <w:r>
        <w:rPr/>
      </w:r>
    </w:p>
    <w:p>
      <w:pPr>
        <w:pStyle w:val="Normal"/>
        <w:rPr/>
      </w:pPr>
      <w:r>
        <w:rPr/>
        <w:t>Response:</w:t>
      </w:r>
    </w:p>
    <w:p>
      <w:pPr>
        <w:pStyle w:val="Normal"/>
        <w:rPr/>
      </w:pPr>
      <w:r>
        <w:rPr/>
        <w:t>In response the first question the answer is: Yes, with the following seven exceptions listed below.  The same definition is used in all references cited in the date request.  Numerical examples are provided or referred to below.  Should the proposed methodology change, SUB’s definition of cost shift may change.</w:t>
      </w:r>
    </w:p>
    <w:p>
      <w:pPr>
        <w:pStyle w:val="Normal"/>
        <w:rPr/>
      </w:pPr>
      <w:r>
        <w:rPr/>
      </w:r>
    </w:p>
    <w:p>
      <w:pPr>
        <w:pStyle w:val="Normal"/>
        <w:numPr>
          <w:ilvl w:val="0"/>
          <w:numId w:val="1"/>
        </w:numPr>
        <w:rPr/>
      </w:pPr>
      <w:r>
        <w:rPr/>
        <w:t>In its testimony, SUB stated concerns and presented analysis regarding the logic and assumptions in the Toolkit runs.  If there are errors in the Toolkit analysis, SUB would not agree with any conclusion on cost shifts based solely on those results.</w:t>
      </w:r>
    </w:p>
    <w:p>
      <w:pPr>
        <w:pStyle w:val="Normal"/>
        <w:numPr>
          <w:ilvl w:val="0"/>
          <w:numId w:val="1"/>
        </w:numPr>
        <w:rPr/>
      </w:pPr>
      <w:r>
        <w:rPr/>
        <w:t>It is SUB’s position that due to current low water and market conditions the impact to non-Slice customers is understated in the first year in the Toolkit analysis since the starting reserves for FY2002 are based on 50 water year conditions.  Please see Data Response DS-SP:001 for further discussion on first year impacts.</w:t>
      </w:r>
    </w:p>
    <w:p>
      <w:pPr>
        <w:pStyle w:val="Normal"/>
        <w:numPr>
          <w:ilvl w:val="0"/>
          <w:numId w:val="1"/>
        </w:numPr>
        <w:rPr/>
      </w:pPr>
      <w:r>
        <w:rPr/>
        <w:t>Toolkit results for ending reserves are limited to a minimum of $50 million.  This understates the impact of the Safety Net (SN) CRAC on non-Slice customers.  For example, if in year 2 of a particular game ending reserves were actually calculated to be -$2 billion, the Toolkit file forces the ending reserves to be $50 million and carries this figure forward into the following year.  No-Slice cases result in the SN CRAC being spread over more customers compared to the 2000 MW Slice case.  If the expected percent increase in rates to non-Slice customers due to the Safety Net CRAC triggering is lower in the no-Slice case than in the 2000 MW Slice cases, SUB would not agree with the conclusion that non-Slice customers are expected to be neutral or favorable to their cost impacts relative to Slice customers.  Particular attention would be focussed on the case where there is 1500 aMW of load loss which results in the SN CRAC being spread over fewer customers.</w:t>
      </w:r>
    </w:p>
    <w:p>
      <w:pPr>
        <w:pStyle w:val="Normal"/>
        <w:numPr>
          <w:ilvl w:val="0"/>
          <w:numId w:val="1"/>
        </w:numPr>
        <w:rPr/>
      </w:pPr>
      <w:r>
        <w:rPr/>
        <w:t>Because the ending reserves in Toolkit runs are limited to a minimum of $50 million, the impact of the FB CRAC is likely to be understated.  For example, if in year 2 of a particular game the ending reserve level is actually -$700 million it is forced to equal $50 million.  If the net change in BPA’s finances in year 3 of the game is + $500 million, the ending reserves in Toolkit for year 3 would equal $550 million and the FB CRAC would not trigger.  However, if the actual calculated ending reserves for year 2 were used, the ending reserves in year 3 would equal (-700 million + $500 million=) -$200 million and the FB CRAC would trigger.  When this occurs, the FB CRAC in current Toolkit runs is understated.</w:t>
      </w:r>
    </w:p>
    <w:p>
      <w:pPr>
        <w:pStyle w:val="Normal"/>
        <w:numPr>
          <w:ilvl w:val="0"/>
          <w:numId w:val="1"/>
        </w:numPr>
        <w:rPr/>
      </w:pPr>
      <w:r>
        <w:rPr/>
        <w:t xml:space="preserve">The impact of load loss relative to BPA’s obligation to provide subscription sales in different for non-Slice customers compared to Slice customers.  Load loss which occurs for simple and partial service customers results in an immediate reduction in BPA’s obligation to serve those loads.  Load loss for Slice customers would not be reflected until the Slice customer’s entitlement is updated every August 1 for the upcoming fiscal year, if at all.  In an extreme case, a Slice customer could lose a bulk of its load, but BPA would not experience a reduction in its obligation to serve, resulting in non-Slice customers paying augmentation costs for Slice customers to have the ability to sell higher than expected surpluses on the market.  If all customers experienced load loss, BPA would experience a reduction in its need to augment the system for non-Slice load loss but would not see a reduction for Slice load loss.  Non-Slice customers end up paying higher LB CRAC charges (and other CRAC charges) compared to if BPA’s obligation to serve Slice customers was reduced if load loss occurred similar to the reduction BPA’s obligation to serve non-Slice customers.  Slice customers have a strong incentive to have curtailment programs since they would still receive their Slice entitlement and receive all of the benefits of the curtailment (with the exception of amounts paid to customers).  If a curtailment program is done in a non-Slice customer’s service territory, it is likely that BPA would expect some portion of the benefit.  Unless BPA’s obligation to serve Slice customers due to load loss is similar to that of non-Slice customers, SUB would not agree with any conclusion on cost shifts. </w:t>
      </w:r>
    </w:p>
    <w:p>
      <w:pPr>
        <w:pStyle w:val="Normal"/>
        <w:numPr>
          <w:ilvl w:val="0"/>
          <w:numId w:val="1"/>
        </w:numPr>
        <w:rPr/>
      </w:pPr>
      <w:r>
        <w:rPr/>
        <w:t>If there are errors in the formation of the LB CRAC mechanism, excess costs are recovered in the FB CRAC or SN CRAC mechanisms.  Non-Slice customers bear the impact of errors related to the LB CRAC, either in its formulation or its implementation.  If there were no Slice sales then the distinction between prices paid for augmentation vs. prices paid for balancing would not be necessary.  With Slice sales, BPA proposes that this distinction be made and uses purchases 120 days prior to a month as an augmentation purchase.  Other purchases for a month are considered balancing purchases.  This is an arbitrary determination and any cost risk due dramatic cost differences between estimated and actual figures are born by non-Slice customers through the FB or SN CRAC.</w:t>
      </w:r>
    </w:p>
    <w:p>
      <w:pPr>
        <w:pStyle w:val="Normal"/>
        <w:numPr>
          <w:ilvl w:val="0"/>
          <w:numId w:val="1"/>
        </w:numPr>
        <w:rPr/>
      </w:pPr>
      <w:r>
        <w:rPr/>
        <w:t xml:space="preserve">FB CRAC frequency and size is an important distinction when comparing Toolkit results.  One set of LB CRAC and FB CRAC parameters could result in the same expected rate impact (as presented by BPA) as a Toolkit run with a lower LB CRAC parameters and higher FB CRAC parameters. FB CRAC volatility from year to year is a concern.  A higher FB CRAC frequency may indicate a higher likelihood of the SN CRAC triggering which is currently not captured when comparing Toolkit results.       </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t>DATA RESPONSE – SL-SP:002</w:t>
    </w:r>
  </w:p>
  <w:p>
    <w:pPr>
      <w:pStyle w:val="Footer"/>
      <w:jc w:val="cen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2</w:t>
    </w:r>
    <w:r>
      <w:rPr>
        <w:rStyle w:val="PageNumber"/>
      </w:rPr>
      <w:fldChar w:fldCharType="end"/>
    </w:r>
  </w:p>
  <w:p>
    <w:pPr>
      <w:pStyle w:val="Footer"/>
      <w:jc w:val="end"/>
      <w:rPr/>
    </w:pPr>
    <w:r>
      <w:rPr>
        <w:rStyle w:val="PageNumber"/>
      </w:rPr>
      <w:t>cc: Service List (via electronic copy)</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2001-03-21T17:09:00Z</dcterms:created>
  <dc:creator>Preferred Customer</dc:creator>
  <dc:description/>
  <dc:language>en-CA</dc:language>
  <cp:lastModifiedBy>Preferred Customer</cp:lastModifiedBy>
  <cp:lastPrinted>2001-03-21T15:01:00Z</cp:lastPrinted>
  <dcterms:modified xsi:type="dcterms:W3CDTF">2001-03-21T20:31:00Z</dcterms:modified>
  <cp:revision>6</cp:revision>
  <dc:subject/>
  <dc:title>BPA’s question assumes the HLH average monthly load of 100aMW is a known quantity in the determination of how a customer operates resources on a particular day</dc:title>
</cp:coreProperties>
</file>