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tab/>
        <w:tab/>
        <w:tab/>
        <w:tab/>
        <w:tab/>
        <w:tab/>
        <w:tab/>
        <w:tab/>
        <w:tab/>
        <w:tab/>
        <w:t>March 20, 2001</w:t>
      </w:r>
    </w:p>
    <w:p>
      <w:pPr>
        <w:pStyle w:val="Normal"/>
        <w:rPr/>
      </w:pPr>
      <w:r>
        <w:rPr/>
      </w:r>
    </w:p>
    <w:p>
      <w:pPr>
        <w:pStyle w:val="Normal"/>
        <w:rPr/>
      </w:pPr>
      <w:r>
        <w:rPr/>
        <w:t>Raymond S. Kindley</w:t>
      </w:r>
    </w:p>
    <w:p>
      <w:pPr>
        <w:pStyle w:val="Normal"/>
        <w:rPr/>
      </w:pPr>
      <w:r>
        <w:rPr/>
        <w:t>Schwabe, Williamson &amp; Wyatt</w:t>
      </w:r>
    </w:p>
    <w:p>
      <w:pPr>
        <w:pStyle w:val="Normal"/>
        <w:rPr/>
      </w:pPr>
      <w:r>
        <w:rPr/>
        <w:t>1211 SW. Fifth Avenue, Suite 1700</w:t>
      </w:r>
    </w:p>
    <w:p>
      <w:pPr>
        <w:pStyle w:val="Normal"/>
        <w:rPr/>
      </w:pPr>
      <w:r>
        <w:rPr/>
        <w:t>Portland, OR  97204</w:t>
      </w:r>
    </w:p>
    <w:p>
      <w:pPr>
        <w:pStyle w:val="Normal"/>
        <w:rPr/>
      </w:pPr>
      <w:r>
        <w:rPr/>
      </w:r>
    </w:p>
    <w:p>
      <w:pPr>
        <w:pStyle w:val="Normal"/>
        <w:rPr/>
      </w:pPr>
      <w:r>
        <w:rPr/>
      </w:r>
    </w:p>
    <w:p>
      <w:pPr>
        <w:pStyle w:val="Normal"/>
        <w:jc w:val="center"/>
        <w:rPr>
          <w:u w:val="single"/>
        </w:rPr>
      </w:pPr>
      <w:r>
        <w:rPr>
          <w:u w:val="single"/>
        </w:rPr>
        <w:t>DATA RESPONSE</w:t>
      </w:r>
    </w:p>
    <w:p>
      <w:pPr>
        <w:pStyle w:val="Normal"/>
        <w:rPr/>
      </w:pPr>
      <w:r>
        <w:rPr/>
        <w:tab/>
        <w:tab/>
      </w:r>
    </w:p>
    <w:p>
      <w:pPr>
        <w:pStyle w:val="Normal"/>
        <w:rPr/>
      </w:pPr>
      <w:r>
        <w:rPr/>
        <w:t>Exhibit:</w:t>
        <w:tab/>
        <w:tab/>
        <w:t>WP-02-E-SP-02</w:t>
        <w:tab/>
        <w:tab/>
      </w:r>
    </w:p>
    <w:p>
      <w:pPr>
        <w:pStyle w:val="Normal"/>
        <w:rPr/>
      </w:pPr>
      <w:r>
        <w:rPr/>
        <w:t>Testimony of:</w:t>
        <w:tab/>
        <w:tab/>
        <w:t>Nelson</w:t>
      </w:r>
    </w:p>
    <w:p>
      <w:pPr>
        <w:pStyle w:val="Normal"/>
        <w:rPr/>
      </w:pPr>
      <w:r>
        <w:rPr/>
        <w:t>Page(s):</w:t>
        <w:tab/>
        <w:tab/>
        <w:t>13</w:t>
      </w:r>
    </w:p>
    <w:p>
      <w:pPr>
        <w:pStyle w:val="Normal"/>
        <w:rPr/>
      </w:pPr>
      <w:r>
        <w:rPr/>
        <w:t>Line(s):</w:t>
        <w:tab/>
        <w:tab/>
        <w:t>7</w:t>
      </w:r>
    </w:p>
    <w:p>
      <w:pPr>
        <w:pStyle w:val="Normal"/>
        <w:rPr/>
      </w:pPr>
      <w:r>
        <w:rPr/>
      </w:r>
    </w:p>
    <w:p>
      <w:pPr>
        <w:pStyle w:val="Normal"/>
        <w:rPr/>
      </w:pPr>
      <w:r>
        <w:rPr/>
        <w:t>In your statement “. . .BPA’s proposal has higher cost impacts to non-Slice customers in the first year” please document those cost impacts, and show what they are higher than.</w:t>
      </w:r>
    </w:p>
    <w:p>
      <w:pPr>
        <w:pStyle w:val="Normal"/>
        <w:rPr/>
      </w:pPr>
      <w:r>
        <w:rPr/>
      </w:r>
    </w:p>
    <w:p>
      <w:pPr>
        <w:pStyle w:val="Normal"/>
        <w:rPr/>
      </w:pPr>
      <w:r>
        <w:rPr/>
        <w:t>Response:</w:t>
      </w:r>
    </w:p>
    <w:p>
      <w:pPr>
        <w:pStyle w:val="Normal"/>
        <w:rPr/>
      </w:pPr>
      <w:r>
        <w:rPr/>
      </w:r>
    </w:p>
    <w:p>
      <w:pPr>
        <w:pStyle w:val="Normal"/>
        <w:rPr/>
      </w:pPr>
      <w:r>
        <w:rPr/>
        <w:t>SUB’s entire statement starting at line 6 is “SUB’s analysis shows that because of current expected water conditions BPA’s proposal has higher cost impacts to non-Slice customers in the first year.”</w:t>
      </w:r>
    </w:p>
    <w:p>
      <w:pPr>
        <w:pStyle w:val="Normal"/>
        <w:rPr/>
      </w:pPr>
      <w:r>
        <w:rPr/>
      </w:r>
    </w:p>
    <w:p>
      <w:pPr>
        <w:pStyle w:val="Normal"/>
        <w:rPr/>
      </w:pPr>
      <w:r>
        <w:rPr/>
        <w:t>BPA’s TPP analysis uses four files: Toolkit, Prior Toolkit, Norm, and RiskMod.  Starting reserves for Year 1 (FY 2002 – where FY 2002 is the fiscal year from October 2001 to September 2002) are found in the Prior Toolkit file.  These starting reserves are fed into the Toolkit analysis each time a Toolkit file is executed.  The Prior Toolkit version referenced in SUB’s testimony is named  “Prior_ToolKit_B_2001_110600_Lose600_NoFloor”.  There are 300 ending reserve figures for FY 2001 in this Prior Toolkit file which are used as the Starting Reserves for FY2002.  The 300 ending reserve figures are determined based on water year and other variables.  50 water year conditions (1929 – 1978) are used in Prior Toolkit (See cells D27 through D1826 in sheet “6 Year” of the Prior Toolkit file).  The average ending reserves for FY2001 from the Prior Toolkit file is $308.7 Million (see cell G308 on “Sheet 1” of the Prior Toolkit file).</w:t>
      </w:r>
    </w:p>
    <w:p>
      <w:pPr>
        <w:pStyle w:val="Normal"/>
        <w:rPr/>
      </w:pPr>
      <w:r>
        <w:rPr/>
      </w:r>
    </w:p>
    <w:p>
      <w:pPr>
        <w:pStyle w:val="Normal"/>
        <w:rPr/>
      </w:pPr>
      <w:r>
        <w:rPr/>
        <w:t xml:space="preserve">BPA has stated that FY2001 is expected to be well below average.  This results in a higher likelihood that BPA will receive lower revenues for FY2001 than the average modeled in Prior Toolkit.  As a result, BPA could enter the rate period well below the FB CRAC threshold of $300 Million due to financial circumstances which occurred prior to October 1, 2001.  This is explained, in part starting at line 20 on page 13 of WP-02-E-SP-02 (SUB also includes average starting reserve values in Prior Toolkit assuming a 1936 runoff year during FY2001 which results in an average starting reserve level of $222.99 million). BPA proposes that Slice customers not participate in the FB CRAC – therefore non-slice customers are solely responsible for BPA’s financial recovery due to FY 2001 conditions.  Starting October 1, 2001 Slice customers are proposed to be responsible for a percentage of BPA’s actual costs, but Slice customers are not currently proposed by BPA to assist in bringing BPA back to financial stability due to circumstances which occurred in FY2001 that resulted in BPA being well below the FB CRAC threshold for FY2002.  </w:t>
      </w:r>
    </w:p>
    <w:p>
      <w:pPr>
        <w:pStyle w:val="Normal"/>
        <w:rPr/>
      </w:pPr>
      <w:r>
        <w:rPr/>
      </w:r>
    </w:p>
    <w:p>
      <w:pPr>
        <w:pStyle w:val="Normal"/>
        <w:rPr/>
      </w:pPr>
      <w:r>
        <w:rPr/>
        <w:t>In summary, expected water conditions for FY 2001 have resulted in the ending reserves for FY2001 to be lower than the average in the Prior Toolkit file since the average in the Prior Toolkit file is based on the average of 50 water years.  This results in higher expected cost exposure in the first year to non-Slice customers compared to Slice customers.  To correct this problem, SUB proposes that Slice customers participate in the FB CRAC in the first year should BPA have a financial crises which results in FY 2001 ending reserves (used to determine FY 2002 starting reserves) to be below the FB CRAC threshold in the first year ($300 million).</w:t>
      </w:r>
    </w:p>
    <w:p>
      <w:pPr>
        <w:pStyle w:val="Normal"/>
        <w:rPr/>
      </w:pPr>
      <w:r>
        <w:rPr/>
      </w:r>
    </w:p>
    <w:p>
      <w:pPr>
        <w:pStyle w:val="Normal"/>
        <w:rPr/>
      </w:pPr>
      <w:r>
        <w:rPr/>
        <w:t xml:space="preserve"> </w:t>
      </w:r>
    </w:p>
    <w:p>
      <w:pPr>
        <w:pStyle w:val="Normal"/>
        <w:rPr/>
      </w:pPr>
      <w:r>
        <w:rPr/>
        <w:t xml:space="preserve">  </w:t>
      </w:r>
    </w:p>
    <w:p>
      <w:pPr>
        <w:pStyle w:val="Normal"/>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t>DATA RESPONSE – SL-SP:001</w:t>
    </w:r>
  </w:p>
  <w:p>
    <w:pPr>
      <w:pStyle w:val="Footer"/>
      <w:jc w:val="cen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2</w:t>
    </w:r>
    <w:r>
      <w:rPr>
        <w:rStyle w:val="PageNumber"/>
      </w:rPr>
      <w:fldChar w:fldCharType="end"/>
    </w:r>
  </w:p>
  <w:p>
    <w:pPr>
      <w:pStyle w:val="Footer"/>
      <w:jc w:val="end"/>
      <w:rPr/>
    </w:pPr>
    <w:r>
      <w:rPr>
        <w:rStyle w:val="PageNumber"/>
      </w:rPr>
      <w:t>cc: Service List (via electronic copy)</w:t>
    </w:r>
  </w:p>
</w:ft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2001-03-21T13:30:00Z</dcterms:created>
  <dc:creator>Preferred Customer</dc:creator>
  <dc:description/>
  <dc:language>en-CA</dc:language>
  <cp:lastModifiedBy>Preferred Customer</cp:lastModifiedBy>
  <cp:lastPrinted>1999-11-29T17:15:00Z</cp:lastPrinted>
  <dcterms:modified xsi:type="dcterms:W3CDTF">2001-03-21T14:29:00Z</dcterms:modified>
  <cp:revision>5</cp:revision>
  <dc:subject/>
  <dc:title>BPA’s question assumes the HLH average monthly load of 100aMW is a known quantity in the determination of how a customer operates resources on a particular day</dc:title>
</cp:coreProperties>
</file>