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The purpose of this document is to provide details associated with the development of the West Power Load Forecasting Model.  This document is divided into three parts:</w:t>
      </w:r>
    </w:p>
    <w:p>
      <w:pPr>
        <w:pStyle w:val="BodyTextIndent"/>
        <w:rPr/>
      </w:pPr>
      <w:r>
        <w:rPr/>
      </w:r>
    </w:p>
    <w:p>
      <w:pPr>
        <w:pStyle w:val="BodyTextIndent"/>
        <w:numPr>
          <w:ilvl w:val="0"/>
          <w:numId w:val="2"/>
        </w:numPr>
        <w:rPr/>
      </w:pPr>
      <w:r>
        <w:rPr/>
        <w:t>Part 1: Historical and Ongoing Data Sources</w:t>
      </w:r>
    </w:p>
    <w:p>
      <w:pPr>
        <w:pStyle w:val="BodyTextIndent"/>
        <w:numPr>
          <w:ilvl w:val="0"/>
          <w:numId w:val="2"/>
        </w:numPr>
        <w:rPr/>
      </w:pPr>
      <w:r>
        <w:rPr/>
        <w:t>Part 2: Model Derivation</w:t>
      </w:r>
    </w:p>
    <w:p>
      <w:pPr>
        <w:pStyle w:val="BodyTextIndent"/>
        <w:numPr>
          <w:ilvl w:val="0"/>
          <w:numId w:val="2"/>
        </w:numPr>
        <w:rPr/>
      </w:pPr>
      <w:r>
        <w:rPr/>
        <w:t>Part 3: Model Implementation</w:t>
      </w:r>
    </w:p>
    <w:p>
      <w:pPr>
        <w:pStyle w:val="BodyTextIndent"/>
        <w:ind w:hanging="0" w:end="0"/>
        <w:rPr/>
      </w:pPr>
      <w:r>
        <w:rPr/>
      </w:r>
    </w:p>
    <w:p>
      <w:pPr>
        <w:pStyle w:val="BodyTextIndent"/>
        <w:ind w:hanging="0" w:end="0"/>
        <w:rPr/>
      </w:pPr>
      <w:r>
        <w:rPr/>
        <w:t>While this document is not intended to be an instruction manual describing each and every step necessary to recreate the model, the hope is that a sufficient amount of detail is provided to answer any questions about data sources, general model structure, and location of key files and/or programs.</w:t>
      </w:r>
    </w:p>
    <w:p>
      <w:pPr>
        <w:pStyle w:val="Normal"/>
        <w:rPr/>
      </w:pPr>
      <w:r>
        <w:rPr/>
      </w:r>
    </w:p>
    <w:p>
      <w:pPr>
        <w:pStyle w:val="Normal"/>
        <w:rPr/>
      </w:pPr>
      <w:r>
        <w:rPr/>
        <w:tab/>
        <w:tab/>
        <w:tab/>
        <w:tab/>
        <w:tab/>
        <w:tab/>
      </w:r>
    </w:p>
    <w:p>
      <w:pPr>
        <w:pStyle w:val="Heading1"/>
        <w:ind w:hanging="0" w:start="0"/>
        <w:rPr>
          <w:smallCaps/>
        </w:rPr>
      </w:pPr>
      <w:r>
        <w:rPr>
          <w:smallCaps/>
        </w:rPr>
        <w:t>Part 1: Historical and Ongoing Data Sources</w:t>
      </w:r>
    </w:p>
    <w:p>
      <w:pPr>
        <w:pStyle w:val="Normal"/>
        <w:rPr/>
      </w:pPr>
      <w:r>
        <w:rPr/>
        <w:tab/>
        <w:t>The first step in developing the model was to assemble a database of historical loads for the WSCC, apportioned into the four regions found on the West Desk (CA, DSW, PNW-US, and RM).  Several sources of historical load data exist, and the trick was to reconcile these various sources so that there was enough confidence in the historical record to allow a forecast of the future based on this record.  The sources that we use include:</w:t>
      </w:r>
    </w:p>
    <w:p>
      <w:pPr>
        <w:pStyle w:val="Normal"/>
        <w:rPr/>
      </w:pPr>
      <w:r>
        <w:rPr/>
      </w:r>
    </w:p>
    <w:p>
      <w:pPr>
        <w:pStyle w:val="Normal"/>
        <w:numPr>
          <w:ilvl w:val="0"/>
          <w:numId w:val="3"/>
        </w:numPr>
        <w:rPr/>
      </w:pPr>
      <w:r>
        <w:rPr>
          <w:b/>
          <w:bCs/>
        </w:rPr>
        <w:t>FERC Form 714 Hourly Loads.</w:t>
      </w:r>
      <w:r>
        <w:rPr/>
        <w:t xml:space="preserve">  These data are self-reported by individual control area operators (e.g., IOUs, munis).  They have the advantages of a relatively lengthy history (since 1993 in many cases), being hourly in nature, and in most cases being confined to a limited geographic area.  Among the disadvantages are that the reporting has not been consistent throughout the years.  Some control areas drop out one year, only to reappear the following year, and for others there are noticeable jumps in load from one year to the next, indicating that something has changed in the way the loads are reported.  Equally as frustrating, there is a significant time lag before the data become available.  Form 714 data are released only once per year, with data for prior years becoming available usually by July of the following year.  This schedule means that for all of the WSCC outside of the CAISO control area, there are times when the most recent hourly load data available for a given month are more than 18 months old.  </w:t>
      </w:r>
      <w:r>
        <w:rPr>
          <w:b/>
          <w:bCs/>
        </w:rPr>
        <w:t>Table 1</w:t>
      </w:r>
      <w:r>
        <w:rPr/>
        <w:t xml:space="preserve"> at the end of this section lists those entities in the WSCC for which we have 714 data, and the region to which they have been assigned.</w:t>
      </w:r>
      <w:r>
        <w:rPr>
          <w:rStyle w:val="FootnoteCharacters"/>
          <w:rStyle w:val="FootnoteReference"/>
        </w:rPr>
        <w:footnoteReference w:id="2"/>
      </w:r>
    </w:p>
    <w:p>
      <w:pPr>
        <w:pStyle w:val="Normal"/>
        <w:rPr/>
      </w:pPr>
      <w:r>
        <w:rPr/>
      </w:r>
    </w:p>
    <w:p>
      <w:pPr>
        <w:pStyle w:val="Normal"/>
        <w:numPr>
          <w:ilvl w:val="0"/>
          <w:numId w:val="3"/>
        </w:numPr>
        <w:rPr/>
      </w:pPr>
      <w:r>
        <w:rPr>
          <w:b/>
          <w:bCs/>
        </w:rPr>
        <w:t>CAISO Hourly Load.</w:t>
      </w:r>
      <w:r>
        <w:rPr/>
        <w:t xml:space="preserve">  The ISO reports in real-time the load for its control area, and we collect these data as they are released.  While there are scattered instances of obviously bad or non-existent data points, we generally rely on the ISO’s data as being an accurate representation of the load within in its control area.  The advantage to this source is that it is available virtually real-time.  The disadvantage is that the definition of the ISO’s control area has changed over time, and in any event does not include all of California.  The ISO reports one total number for its entire control area (confounding efforts to break CA into NP, SP and ZP zones), and attempts to reconcile this number with various aggregations of 714 data have not been wholly successful.  We assume that this inability to reconcile is due mostly to inadequacies of the 714 data, and thus have focused on identifying those few control areas that are not included in the ISO’s, and simply adding them to the ISO loads to form a complete picture of California (though one that is still not subdivided into the three zones).  Our current understanding is that LADWP and IID control areas are not included in the ISO loads, but that the vast majority of the remainder of California is.  Small portions of SPPC’s and PACW’s control areas in Northern California are also excluded, but we ignore these because the amount of load in them is very small.</w:t>
      </w:r>
    </w:p>
    <w:p>
      <w:pPr>
        <w:pStyle w:val="Normal"/>
        <w:rPr/>
      </w:pPr>
      <w:r>
        <w:rPr/>
      </w:r>
    </w:p>
    <w:p>
      <w:pPr>
        <w:pStyle w:val="Normal"/>
        <w:numPr>
          <w:ilvl w:val="0"/>
          <w:numId w:val="3"/>
        </w:numPr>
        <w:rPr/>
      </w:pPr>
      <w:r>
        <w:rPr>
          <w:b/>
          <w:bCs/>
        </w:rPr>
        <w:t>WSCC Summary of Estimated Loads and Resources.</w:t>
      </w:r>
      <w:r>
        <w:rPr/>
        <w:t xml:space="preserve">  This source is part of an annual report published by the WSCC that provides monthly actual total energy (GWH) and monthly peak demand, by region.  While these data are not useful for hourly forecasts, they do serve as a very useful crosscheck on other sources.  Moreover, the WSCC has clearly maintained over the years an internally consistent method of reporting and accounting by region, which eliminates much of the uncertainties associated with 714 data.  Because of the consistency of these data, and the limitations and inconsistencies with the 714 data noted above, where necessary we have used the monthly total energy demand figures from the WSCC to adjust hourly 714 data.  These adjustments are described in greater detail below.  Besides the low resolution of the data, the main disadvantage is that, as with 714, there is a significant time lag involved, with publication usually coming around October for prior year actuals.</w:t>
      </w:r>
    </w:p>
    <w:p>
      <w:pPr>
        <w:pStyle w:val="Normal"/>
        <w:rPr/>
      </w:pPr>
      <w:r>
        <w:rPr/>
      </w:r>
    </w:p>
    <w:p>
      <w:pPr>
        <w:pStyle w:val="Normal"/>
        <w:numPr>
          <w:ilvl w:val="0"/>
          <w:numId w:val="3"/>
        </w:numPr>
        <w:rPr/>
      </w:pPr>
      <w:r>
        <w:rPr>
          <w:b/>
          <w:bCs/>
        </w:rPr>
        <w:t>NWPP Monthly Energy Summaries.</w:t>
      </w:r>
      <w:r>
        <w:rPr/>
        <w:t xml:space="preserve">  The NWPP publishes on its website a summary of actual monthly loads (MWa) and monthly peaks for the control areas in the pool, including those in Canada.  We have found these summaries over time to be a consistent source with respect to region-wide accounting of loads, control areas, etc.  As a result, we have been able to use these summaries as independent verification that, in the PNW region at least, the 714 data are accurate for most control areas, and the WSCC data are equally as accurate on an aggregated scale.  This finding lends comfort to the use of 714 data in other regions, once certain adjustments are made to account for missing control areas or other apparent anomalies.  Another important advantage of the NWPP data is that the lag time is not nearly as great as with 714 and WSCC reports, generally only a couple of months or less.  This relative freshness could be used to calibrate PNW forecasts on an ongoing basis.  At the moment, however, we are not taking advantage of this feature.</w:t>
      </w:r>
    </w:p>
    <w:p>
      <w:pPr>
        <w:pStyle w:val="Normal"/>
        <w:rPr/>
      </w:pPr>
      <w:r>
        <w:rPr/>
      </w:r>
    </w:p>
    <w:p>
      <w:pPr>
        <w:pStyle w:val="Normal"/>
        <w:ind w:firstLine="720" w:end="0"/>
        <w:rPr/>
      </w:pPr>
      <w:r>
        <w:rPr/>
      </w:r>
    </w:p>
    <w:p>
      <w:pPr>
        <w:pStyle w:val="Heading1"/>
        <w:pBdr>
          <w:bottom w:val="single" w:sz="4" w:space="1" w:color="000000"/>
        </w:pBdr>
        <w:ind w:hanging="0" w:start="0"/>
        <w:rPr/>
      </w:pPr>
      <w:r>
        <w:rPr/>
        <w:t>Table 1.  Form 714 Reporting Control Areas, with Region Assignments</w:t>
      </w:r>
    </w:p>
    <w:p>
      <w:pPr>
        <w:pStyle w:val="Normal"/>
        <w:rPr/>
      </w:pPr>
      <w:r>
        <w:rPr/>
      </w:r>
    </w:p>
    <w:p>
      <w:pPr>
        <w:pStyle w:val="Normal"/>
        <w:rPr>
          <w:rFonts w:ascii="Courier" w:hAnsi="Courier" w:cs="Courier"/>
          <w:sz w:val="16"/>
        </w:rPr>
      </w:pPr>
      <w:r>
        <w:rPr>
          <w:rFonts w:cs="Courier" w:ascii="Courier" w:hAnsi="Courier"/>
          <w:sz w:val="16"/>
        </w:rPr>
        <w:t xml:space="preserve">UtilityCode UtilityName                              Region     </w:t>
      </w:r>
    </w:p>
    <w:p>
      <w:pPr>
        <w:pStyle w:val="Normal"/>
        <w:rPr>
          <w:rFonts w:ascii="Courier" w:hAnsi="Courier" w:cs="Courier"/>
          <w:sz w:val="16"/>
        </w:rPr>
      </w:pPr>
      <w:r>
        <w:rPr>
          <w:rFonts w:cs="Courier" w:ascii="Courier" w:hAnsi="Courier"/>
          <w:sz w:val="16"/>
        </w:rPr>
        <w:t xml:space="preserve">----------- ---------------------------------------- ---------- </w:t>
      </w:r>
    </w:p>
    <w:p>
      <w:pPr>
        <w:pStyle w:val="Normal"/>
        <w:rPr>
          <w:rFonts w:ascii="Courier" w:hAnsi="Courier" w:cs="Courier"/>
          <w:sz w:val="16"/>
        </w:rPr>
      </w:pPr>
      <w:r>
        <w:rPr>
          <w:rFonts w:cs="Courier" w:ascii="Courier" w:hAnsi="Courier"/>
          <w:sz w:val="16"/>
        </w:rPr>
        <w:t>CDWR        CA Dept Water Resources                  CA-NP</w:t>
      </w:r>
    </w:p>
    <w:p>
      <w:pPr>
        <w:pStyle w:val="Normal"/>
        <w:rPr>
          <w:rFonts w:ascii="Courier" w:hAnsi="Courier" w:cs="Courier"/>
          <w:sz w:val="16"/>
        </w:rPr>
      </w:pPr>
      <w:r>
        <w:rPr>
          <w:rFonts w:cs="Courier" w:ascii="Courier" w:hAnsi="Courier"/>
          <w:sz w:val="16"/>
        </w:rPr>
        <w:t>MID         Modesto Irrigation Dist                  CA-NP</w:t>
      </w:r>
    </w:p>
    <w:p>
      <w:pPr>
        <w:pStyle w:val="Normal"/>
        <w:rPr>
          <w:rFonts w:ascii="Courier" w:hAnsi="Courier" w:cs="Courier"/>
          <w:sz w:val="16"/>
        </w:rPr>
      </w:pPr>
      <w:r>
        <w:rPr>
          <w:rFonts w:cs="Courier" w:ascii="Courier" w:hAnsi="Courier"/>
          <w:sz w:val="16"/>
        </w:rPr>
        <w:t>NCPA        No CA Power Agy                          CA-NP</w:t>
      </w:r>
    </w:p>
    <w:p>
      <w:pPr>
        <w:pStyle w:val="Normal"/>
        <w:rPr>
          <w:rFonts w:ascii="Courier" w:hAnsi="Courier" w:cs="Courier"/>
          <w:sz w:val="16"/>
        </w:rPr>
      </w:pPr>
      <w:r>
        <w:rPr>
          <w:rFonts w:cs="Courier" w:ascii="Courier" w:hAnsi="Courier"/>
          <w:sz w:val="16"/>
        </w:rPr>
        <w:t>PCWA        Placer County Water Auth                 CA-NP</w:t>
      </w:r>
    </w:p>
    <w:p>
      <w:pPr>
        <w:pStyle w:val="Normal"/>
        <w:rPr>
          <w:rFonts w:ascii="Courier" w:hAnsi="Courier" w:cs="Courier"/>
          <w:sz w:val="16"/>
        </w:rPr>
      </w:pPr>
      <w:r>
        <w:rPr>
          <w:rFonts w:cs="Courier" w:ascii="Courier" w:hAnsi="Courier"/>
          <w:sz w:val="16"/>
        </w:rPr>
        <w:t>PG&amp;E        Pacific Gas &amp; Elec                       CA-NP</w:t>
      </w:r>
    </w:p>
    <w:p>
      <w:pPr>
        <w:pStyle w:val="Normal"/>
        <w:rPr>
          <w:rFonts w:ascii="Courier" w:hAnsi="Courier" w:cs="Courier"/>
          <w:sz w:val="16"/>
        </w:rPr>
      </w:pPr>
      <w:r>
        <w:rPr>
          <w:rFonts w:cs="Courier" w:ascii="Courier" w:hAnsi="Courier"/>
          <w:sz w:val="16"/>
        </w:rPr>
        <w:t>SMUD        Sacramento Muni Util Dist                CA-NP</w:t>
      </w:r>
    </w:p>
    <w:p>
      <w:pPr>
        <w:pStyle w:val="Normal"/>
        <w:rPr>
          <w:rFonts w:ascii="Courier" w:hAnsi="Courier" w:cs="Courier"/>
          <w:sz w:val="16"/>
        </w:rPr>
      </w:pPr>
      <w:r>
        <w:rPr>
          <w:rFonts w:cs="Courier" w:ascii="Courier" w:hAnsi="Courier"/>
          <w:sz w:val="16"/>
        </w:rPr>
        <w:t>SNCL        City of Santa Clara                      CA-NP</w:t>
      </w:r>
    </w:p>
    <w:p>
      <w:pPr>
        <w:pStyle w:val="Normal"/>
        <w:rPr>
          <w:rFonts w:ascii="Courier" w:hAnsi="Courier" w:cs="Courier"/>
          <w:sz w:val="16"/>
        </w:rPr>
      </w:pPr>
      <w:r>
        <w:rPr>
          <w:rFonts w:cs="Courier" w:ascii="Courier" w:hAnsi="Courier"/>
          <w:sz w:val="16"/>
        </w:rPr>
        <w:t>TID         Turlock Irrigation Dist                  CA-NP</w:t>
      </w:r>
    </w:p>
    <w:p>
      <w:pPr>
        <w:pStyle w:val="Normal"/>
        <w:rPr>
          <w:rFonts w:ascii="Courier" w:hAnsi="Courier" w:cs="Courier"/>
          <w:sz w:val="16"/>
        </w:rPr>
      </w:pPr>
      <w:r>
        <w:rPr>
          <w:rFonts w:cs="Courier" w:ascii="Courier" w:hAnsi="Courier"/>
          <w:sz w:val="16"/>
        </w:rPr>
        <w:t>ANHM        City of Anaheim                          CA-SP</w:t>
      </w:r>
    </w:p>
    <w:p>
      <w:pPr>
        <w:pStyle w:val="Normal"/>
        <w:rPr>
          <w:rFonts w:ascii="Courier" w:hAnsi="Courier" w:cs="Courier"/>
          <w:sz w:val="16"/>
        </w:rPr>
      </w:pPr>
      <w:r>
        <w:rPr>
          <w:rFonts w:cs="Courier" w:ascii="Courier" w:hAnsi="Courier"/>
          <w:sz w:val="16"/>
        </w:rPr>
        <w:t>BURB        City of Burbank                          CA-SP</w:t>
      </w:r>
    </w:p>
    <w:p>
      <w:pPr>
        <w:pStyle w:val="Normal"/>
        <w:rPr>
          <w:rFonts w:ascii="Courier" w:hAnsi="Courier" w:cs="Courier"/>
          <w:sz w:val="16"/>
        </w:rPr>
      </w:pPr>
      <w:r>
        <w:rPr>
          <w:rFonts w:cs="Courier" w:ascii="Courier" w:hAnsi="Courier"/>
          <w:sz w:val="16"/>
        </w:rPr>
        <w:t>GLEN        City of Glendale                         CA-SP</w:t>
      </w:r>
    </w:p>
    <w:p>
      <w:pPr>
        <w:pStyle w:val="Normal"/>
        <w:rPr>
          <w:rFonts w:ascii="Courier" w:hAnsi="Courier" w:cs="Courier"/>
          <w:sz w:val="16"/>
        </w:rPr>
      </w:pPr>
      <w:r>
        <w:rPr>
          <w:rFonts w:cs="Courier" w:ascii="Courier" w:hAnsi="Courier"/>
          <w:sz w:val="16"/>
        </w:rPr>
        <w:t>IID         Imperial Irrigation Dist                 CA-SP</w:t>
      </w:r>
    </w:p>
    <w:p>
      <w:pPr>
        <w:pStyle w:val="Normal"/>
        <w:rPr>
          <w:rFonts w:ascii="Courier" w:hAnsi="Courier" w:cs="Courier"/>
          <w:sz w:val="16"/>
        </w:rPr>
      </w:pPr>
      <w:r>
        <w:rPr>
          <w:rFonts w:cs="Courier" w:ascii="Courier" w:hAnsi="Courier"/>
          <w:sz w:val="16"/>
        </w:rPr>
        <w:t>LDWP        LA Dept Water &amp; Power                    CA-SP</w:t>
      </w:r>
    </w:p>
    <w:p>
      <w:pPr>
        <w:pStyle w:val="Normal"/>
        <w:rPr>
          <w:rFonts w:ascii="Courier" w:hAnsi="Courier" w:cs="Courier"/>
          <w:sz w:val="16"/>
        </w:rPr>
      </w:pPr>
      <w:r>
        <w:rPr>
          <w:rFonts w:cs="Courier" w:ascii="Courier" w:hAnsi="Courier"/>
          <w:sz w:val="16"/>
        </w:rPr>
        <w:t>MWD         Metro Water Dist                         CA-SP</w:t>
      </w:r>
    </w:p>
    <w:p>
      <w:pPr>
        <w:pStyle w:val="Normal"/>
        <w:rPr>
          <w:rFonts w:ascii="Courier" w:hAnsi="Courier" w:cs="Courier"/>
          <w:sz w:val="16"/>
        </w:rPr>
      </w:pPr>
      <w:r>
        <w:rPr>
          <w:rFonts w:cs="Courier" w:ascii="Courier" w:hAnsi="Courier"/>
          <w:sz w:val="16"/>
        </w:rPr>
        <w:t>PASA        City of Pasadena                         CA-SP</w:t>
      </w:r>
    </w:p>
    <w:p>
      <w:pPr>
        <w:pStyle w:val="Normal"/>
        <w:rPr>
          <w:rFonts w:ascii="Courier" w:hAnsi="Courier" w:cs="Courier"/>
          <w:sz w:val="16"/>
        </w:rPr>
      </w:pPr>
      <w:r>
        <w:rPr>
          <w:rFonts w:cs="Courier" w:ascii="Courier" w:hAnsi="Courier"/>
          <w:sz w:val="16"/>
        </w:rPr>
        <w:t>RVSD        City of Riverside                        CA-SP</w:t>
      </w:r>
    </w:p>
    <w:p>
      <w:pPr>
        <w:pStyle w:val="Normal"/>
        <w:rPr>
          <w:rFonts w:ascii="Courier" w:hAnsi="Courier" w:cs="Courier"/>
          <w:sz w:val="16"/>
        </w:rPr>
      </w:pPr>
      <w:r>
        <w:rPr>
          <w:rFonts w:cs="Courier" w:ascii="Courier" w:hAnsi="Courier"/>
          <w:sz w:val="16"/>
        </w:rPr>
        <w:t>SCE         So Cal Edison                            CA-SP</w:t>
      </w:r>
    </w:p>
    <w:p>
      <w:pPr>
        <w:pStyle w:val="Normal"/>
        <w:rPr>
          <w:rFonts w:ascii="Courier" w:hAnsi="Courier" w:cs="Courier"/>
          <w:sz w:val="16"/>
        </w:rPr>
      </w:pPr>
      <w:r>
        <w:rPr>
          <w:rFonts w:cs="Courier" w:ascii="Courier" w:hAnsi="Courier"/>
          <w:sz w:val="16"/>
        </w:rPr>
        <w:t>SDGE        San Diego Gas &amp; Elec                     CA-SP</w:t>
      </w:r>
    </w:p>
    <w:p>
      <w:pPr>
        <w:pStyle w:val="Normal"/>
        <w:rPr>
          <w:rFonts w:ascii="Courier" w:hAnsi="Courier" w:cs="Courier"/>
          <w:sz w:val="16"/>
        </w:rPr>
      </w:pPr>
      <w:r>
        <w:rPr>
          <w:rFonts w:cs="Courier" w:ascii="Courier" w:hAnsi="Courier"/>
          <w:sz w:val="16"/>
        </w:rPr>
        <w:t>VERN        City of Vernon                           CA-SP</w:t>
      </w:r>
    </w:p>
    <w:p>
      <w:pPr>
        <w:pStyle w:val="Normal"/>
        <w:rPr>
          <w:rFonts w:ascii="Courier" w:hAnsi="Courier" w:cs="Courier"/>
          <w:sz w:val="16"/>
        </w:rPr>
      </w:pPr>
      <w:r>
        <w:rPr>
          <w:rFonts w:cs="Courier" w:ascii="Courier" w:hAnsi="Courier"/>
          <w:sz w:val="16"/>
        </w:rPr>
        <w:t>AEPC        AZ Elec Power Coop                       DSW</w:t>
      </w:r>
    </w:p>
    <w:p>
      <w:pPr>
        <w:pStyle w:val="Normal"/>
        <w:rPr>
          <w:rFonts w:ascii="Courier" w:hAnsi="Courier" w:cs="Courier"/>
          <w:sz w:val="16"/>
        </w:rPr>
      </w:pPr>
      <w:r>
        <w:rPr>
          <w:rFonts w:cs="Courier" w:ascii="Courier" w:hAnsi="Courier"/>
          <w:sz w:val="16"/>
        </w:rPr>
        <w:t>AZPS        AZ Public Service                        DSW</w:t>
      </w:r>
    </w:p>
    <w:p>
      <w:pPr>
        <w:pStyle w:val="Normal"/>
        <w:rPr>
          <w:rFonts w:ascii="Courier" w:hAnsi="Courier" w:cs="Courier"/>
          <w:sz w:val="16"/>
        </w:rPr>
      </w:pPr>
      <w:r>
        <w:rPr>
          <w:rFonts w:cs="Courier" w:ascii="Courier" w:hAnsi="Courier"/>
          <w:sz w:val="16"/>
        </w:rPr>
        <w:t>EPE         El Paso Elec                             DSW</w:t>
      </w:r>
    </w:p>
    <w:p>
      <w:pPr>
        <w:pStyle w:val="Normal"/>
        <w:rPr>
          <w:rFonts w:ascii="Courier" w:hAnsi="Courier" w:cs="Courier"/>
          <w:sz w:val="16"/>
        </w:rPr>
      </w:pPr>
      <w:r>
        <w:rPr>
          <w:rFonts w:cs="Courier" w:ascii="Courier" w:hAnsi="Courier"/>
          <w:sz w:val="16"/>
        </w:rPr>
        <w:t>FARM        City of Farmington                       DSW</w:t>
      </w:r>
    </w:p>
    <w:p>
      <w:pPr>
        <w:pStyle w:val="Normal"/>
        <w:rPr>
          <w:rFonts w:ascii="Courier" w:hAnsi="Courier" w:cs="Courier"/>
          <w:sz w:val="16"/>
        </w:rPr>
      </w:pPr>
      <w:r>
        <w:rPr>
          <w:rFonts w:cs="Courier" w:ascii="Courier" w:hAnsi="Courier"/>
          <w:sz w:val="16"/>
        </w:rPr>
        <w:t>LAC         Los Alamos City                          DSW</w:t>
      </w:r>
    </w:p>
    <w:p>
      <w:pPr>
        <w:pStyle w:val="Normal"/>
        <w:rPr>
          <w:rFonts w:ascii="Courier" w:hAnsi="Courier" w:cs="Courier"/>
          <w:sz w:val="16"/>
        </w:rPr>
      </w:pPr>
      <w:r>
        <w:rPr>
          <w:rFonts w:cs="Courier" w:ascii="Courier" w:hAnsi="Courier"/>
          <w:sz w:val="16"/>
        </w:rPr>
        <w:t>NEVP        Nevada Power                             DSW</w:t>
      </w:r>
    </w:p>
    <w:p>
      <w:pPr>
        <w:pStyle w:val="Normal"/>
        <w:rPr>
          <w:rFonts w:ascii="Courier" w:hAnsi="Courier" w:cs="Courier"/>
          <w:sz w:val="16"/>
        </w:rPr>
      </w:pPr>
      <w:r>
        <w:rPr>
          <w:rFonts w:cs="Courier" w:ascii="Courier" w:hAnsi="Courier"/>
          <w:sz w:val="16"/>
        </w:rPr>
        <w:t>NTUA        Navaho Tribal Util Auth                  DSW</w:t>
      </w:r>
    </w:p>
    <w:p>
      <w:pPr>
        <w:pStyle w:val="Normal"/>
        <w:rPr>
          <w:rFonts w:ascii="Courier" w:hAnsi="Courier" w:cs="Courier"/>
          <w:sz w:val="16"/>
        </w:rPr>
      </w:pPr>
      <w:r>
        <w:rPr>
          <w:rFonts w:cs="Courier" w:ascii="Courier" w:hAnsi="Courier"/>
          <w:sz w:val="16"/>
        </w:rPr>
        <w:t>PEGT        Plains Elec Gen &amp; Trans                  DSW</w:t>
      </w:r>
    </w:p>
    <w:p>
      <w:pPr>
        <w:pStyle w:val="Normal"/>
        <w:rPr>
          <w:rFonts w:ascii="Courier" w:hAnsi="Courier" w:cs="Courier"/>
          <w:sz w:val="16"/>
        </w:rPr>
      </w:pPr>
      <w:r>
        <w:rPr>
          <w:rFonts w:cs="Courier" w:ascii="Courier" w:hAnsi="Courier"/>
          <w:sz w:val="16"/>
        </w:rPr>
        <w:t>PNM         Public Service NM                        DSW</w:t>
      </w:r>
    </w:p>
    <w:p>
      <w:pPr>
        <w:pStyle w:val="Normal"/>
        <w:rPr>
          <w:rFonts w:ascii="Courier" w:hAnsi="Courier" w:cs="Courier"/>
          <w:sz w:val="16"/>
        </w:rPr>
      </w:pPr>
      <w:r>
        <w:rPr>
          <w:rFonts w:cs="Courier" w:ascii="Courier" w:hAnsi="Courier"/>
          <w:sz w:val="16"/>
        </w:rPr>
        <w:t>SRP         Salt River Project                       DSW</w:t>
      </w:r>
    </w:p>
    <w:p>
      <w:pPr>
        <w:pStyle w:val="Normal"/>
        <w:rPr>
          <w:rFonts w:ascii="Courier" w:hAnsi="Courier" w:cs="Courier"/>
          <w:sz w:val="16"/>
        </w:rPr>
      </w:pPr>
      <w:r>
        <w:rPr>
          <w:rFonts w:cs="Courier" w:ascii="Courier" w:hAnsi="Courier"/>
          <w:sz w:val="16"/>
        </w:rPr>
        <w:t>TEP         Tucson Elec Power                        DSW</w:t>
      </w:r>
    </w:p>
    <w:p>
      <w:pPr>
        <w:pStyle w:val="Normal"/>
        <w:rPr>
          <w:rFonts w:ascii="Courier" w:hAnsi="Courier" w:cs="Courier"/>
          <w:sz w:val="16"/>
        </w:rPr>
      </w:pPr>
      <w:r>
        <w:rPr>
          <w:rFonts w:cs="Courier" w:ascii="Courier" w:hAnsi="Courier"/>
          <w:sz w:val="16"/>
        </w:rPr>
        <w:t>TNMPWS      TX-NM Power                              DSW</w:t>
      </w:r>
    </w:p>
    <w:p>
      <w:pPr>
        <w:pStyle w:val="Normal"/>
        <w:rPr>
          <w:rFonts w:ascii="Courier" w:hAnsi="Courier" w:cs="Courier"/>
          <w:sz w:val="16"/>
        </w:rPr>
      </w:pPr>
      <w:r>
        <w:rPr>
          <w:rFonts w:cs="Courier" w:ascii="Courier" w:hAnsi="Courier"/>
          <w:sz w:val="16"/>
        </w:rPr>
        <w:t>WALC        WAPA Lower Colorado                      DSW</w:t>
      </w:r>
    </w:p>
    <w:p>
      <w:pPr>
        <w:pStyle w:val="Normal"/>
        <w:rPr>
          <w:rFonts w:ascii="Courier" w:hAnsi="Courier" w:cs="Courier"/>
          <w:sz w:val="16"/>
        </w:rPr>
      </w:pPr>
      <w:r>
        <w:rPr>
          <w:rFonts w:cs="Courier" w:ascii="Courier" w:hAnsi="Courier"/>
          <w:sz w:val="16"/>
        </w:rPr>
        <w:t>BPA         Bonneville                               PNW-US</w:t>
      </w:r>
    </w:p>
    <w:p>
      <w:pPr>
        <w:pStyle w:val="Normal"/>
        <w:rPr>
          <w:rFonts w:ascii="Courier" w:hAnsi="Courier" w:cs="Courier"/>
          <w:sz w:val="16"/>
        </w:rPr>
      </w:pPr>
      <w:r>
        <w:rPr>
          <w:rFonts w:cs="Courier" w:ascii="Courier" w:hAnsi="Courier"/>
          <w:sz w:val="16"/>
        </w:rPr>
        <w:t>DOPD        Douglas County PUD                       PNW-US</w:t>
      </w:r>
    </w:p>
    <w:p>
      <w:pPr>
        <w:pStyle w:val="Normal"/>
        <w:rPr>
          <w:rFonts w:ascii="Courier" w:hAnsi="Courier" w:cs="Courier"/>
          <w:sz w:val="16"/>
        </w:rPr>
      </w:pPr>
      <w:r>
        <w:rPr>
          <w:rFonts w:cs="Courier" w:ascii="Courier" w:hAnsi="Courier"/>
          <w:sz w:val="16"/>
        </w:rPr>
        <w:t>EWEB        Eugene Water Elec Bd                     PNW-US</w:t>
      </w:r>
    </w:p>
    <w:p>
      <w:pPr>
        <w:pStyle w:val="Normal"/>
        <w:rPr>
          <w:rFonts w:ascii="Courier" w:hAnsi="Courier" w:cs="Courier"/>
          <w:sz w:val="16"/>
        </w:rPr>
      </w:pPr>
      <w:r>
        <w:rPr>
          <w:rFonts w:cs="Courier" w:ascii="Courier" w:hAnsi="Courier"/>
          <w:sz w:val="16"/>
        </w:rPr>
        <w:t>IDPC        Idaho Power                              PNW-US</w:t>
      </w:r>
    </w:p>
    <w:p>
      <w:pPr>
        <w:pStyle w:val="Normal"/>
        <w:rPr>
          <w:rFonts w:ascii="Courier" w:hAnsi="Courier" w:cs="Courier"/>
          <w:sz w:val="16"/>
        </w:rPr>
      </w:pPr>
      <w:r>
        <w:rPr>
          <w:rFonts w:cs="Courier" w:ascii="Courier" w:hAnsi="Courier"/>
          <w:sz w:val="16"/>
        </w:rPr>
        <w:t>MTPC        Montana Power                            PNW-US</w:t>
      </w:r>
    </w:p>
    <w:p>
      <w:pPr>
        <w:pStyle w:val="Normal"/>
        <w:rPr>
          <w:rFonts w:ascii="Courier" w:hAnsi="Courier" w:cs="Courier"/>
          <w:sz w:val="16"/>
        </w:rPr>
      </w:pPr>
      <w:r>
        <w:rPr>
          <w:rFonts w:cs="Courier" w:ascii="Courier" w:hAnsi="Courier"/>
          <w:sz w:val="16"/>
        </w:rPr>
        <w:t>PACIF       PacifiCorp                               PNW-US</w:t>
      </w:r>
    </w:p>
    <w:p>
      <w:pPr>
        <w:pStyle w:val="Normal"/>
        <w:rPr>
          <w:rFonts w:ascii="Courier" w:hAnsi="Courier" w:cs="Courier"/>
          <w:sz w:val="16"/>
        </w:rPr>
      </w:pPr>
      <w:r>
        <w:rPr>
          <w:rFonts w:cs="Courier" w:ascii="Courier" w:hAnsi="Courier"/>
          <w:sz w:val="16"/>
        </w:rPr>
        <w:t>PCHEL       Chelan PUD                               PNW-US</w:t>
      </w:r>
    </w:p>
    <w:p>
      <w:pPr>
        <w:pStyle w:val="Normal"/>
        <w:rPr>
          <w:rFonts w:ascii="Courier" w:hAnsi="Courier" w:cs="Courier"/>
          <w:sz w:val="16"/>
        </w:rPr>
      </w:pPr>
      <w:r>
        <w:rPr>
          <w:rFonts w:cs="Courier" w:ascii="Courier" w:hAnsi="Courier"/>
          <w:sz w:val="16"/>
        </w:rPr>
        <w:t>PGE         Portland General                         PNW-US</w:t>
      </w:r>
    </w:p>
    <w:p>
      <w:pPr>
        <w:pStyle w:val="Normal"/>
        <w:rPr>
          <w:rFonts w:ascii="Courier" w:hAnsi="Courier" w:cs="Courier"/>
          <w:sz w:val="16"/>
        </w:rPr>
      </w:pPr>
      <w:r>
        <w:rPr>
          <w:rFonts w:cs="Courier" w:ascii="Courier" w:hAnsi="Courier"/>
          <w:sz w:val="16"/>
        </w:rPr>
        <w:t>PGRT        Public Util Grant County                 PNW-US</w:t>
      </w:r>
    </w:p>
    <w:p>
      <w:pPr>
        <w:pStyle w:val="Normal"/>
        <w:rPr>
          <w:rFonts w:ascii="Courier" w:hAnsi="Courier" w:cs="Courier"/>
          <w:sz w:val="16"/>
        </w:rPr>
      </w:pPr>
      <w:r>
        <w:rPr>
          <w:rFonts w:cs="Courier" w:ascii="Courier" w:hAnsi="Courier"/>
          <w:sz w:val="16"/>
        </w:rPr>
        <w:t>PSPL        Puget Sound Power &amp; Light                PNW-US</w:t>
      </w:r>
    </w:p>
    <w:p>
      <w:pPr>
        <w:pStyle w:val="Normal"/>
        <w:rPr>
          <w:rFonts w:ascii="Courier" w:hAnsi="Courier" w:cs="Courier"/>
          <w:sz w:val="16"/>
        </w:rPr>
      </w:pPr>
      <w:r>
        <w:rPr>
          <w:rFonts w:cs="Courier" w:ascii="Courier" w:hAnsi="Courier"/>
          <w:sz w:val="16"/>
        </w:rPr>
        <w:t>SCL         Seattle City Lights                      PNW-US</w:t>
      </w:r>
    </w:p>
    <w:p>
      <w:pPr>
        <w:pStyle w:val="Normal"/>
        <w:rPr>
          <w:rFonts w:ascii="Courier" w:hAnsi="Courier" w:cs="Courier"/>
          <w:sz w:val="16"/>
        </w:rPr>
      </w:pPr>
      <w:r>
        <w:rPr>
          <w:rFonts w:cs="Courier" w:ascii="Courier" w:hAnsi="Courier"/>
          <w:sz w:val="16"/>
        </w:rPr>
        <w:t>SPPC        Sierra Pacific                           PNW-US</w:t>
      </w:r>
    </w:p>
    <w:p>
      <w:pPr>
        <w:pStyle w:val="Normal"/>
        <w:rPr>
          <w:rFonts w:ascii="Courier" w:hAnsi="Courier" w:cs="Courier"/>
          <w:sz w:val="16"/>
        </w:rPr>
      </w:pPr>
      <w:r>
        <w:rPr>
          <w:rFonts w:cs="Courier" w:ascii="Courier" w:hAnsi="Courier"/>
          <w:sz w:val="16"/>
        </w:rPr>
        <w:t>TCL         Tacoma Dept Public Util                  PNW-US</w:t>
      </w:r>
    </w:p>
    <w:p>
      <w:pPr>
        <w:pStyle w:val="Normal"/>
        <w:rPr>
          <w:rFonts w:ascii="Courier" w:hAnsi="Courier" w:cs="Courier"/>
          <w:sz w:val="16"/>
        </w:rPr>
      </w:pPr>
      <w:r>
        <w:rPr>
          <w:rFonts w:cs="Courier" w:ascii="Courier" w:hAnsi="Courier"/>
          <w:sz w:val="16"/>
        </w:rPr>
        <w:t>WAPMON      WAPA Billings                            PNW-US</w:t>
      </w:r>
    </w:p>
    <w:p>
      <w:pPr>
        <w:pStyle w:val="Normal"/>
        <w:rPr>
          <w:rFonts w:ascii="Courier" w:hAnsi="Courier" w:cs="Courier"/>
          <w:sz w:val="16"/>
        </w:rPr>
      </w:pPr>
      <w:r>
        <w:rPr>
          <w:rFonts w:cs="Courier" w:ascii="Courier" w:hAnsi="Courier"/>
          <w:sz w:val="16"/>
        </w:rPr>
        <w:t>WWPC        WA Water Power (Avista)                  PNW-US</w:t>
      </w:r>
    </w:p>
    <w:p>
      <w:pPr>
        <w:pStyle w:val="Normal"/>
        <w:rPr>
          <w:rFonts w:ascii="Courier" w:hAnsi="Courier" w:cs="Courier"/>
          <w:sz w:val="16"/>
        </w:rPr>
      </w:pPr>
      <w:r>
        <w:rPr>
          <w:rFonts w:cs="Courier" w:ascii="Courier" w:hAnsi="Courier"/>
          <w:sz w:val="16"/>
        </w:rPr>
        <w:t>BKH         Black Hills Power &amp; Light                RM</w:t>
      </w:r>
    </w:p>
    <w:p>
      <w:pPr>
        <w:pStyle w:val="Normal"/>
        <w:rPr>
          <w:rFonts w:ascii="Courier" w:hAnsi="Courier" w:cs="Courier"/>
          <w:sz w:val="16"/>
        </w:rPr>
      </w:pPr>
      <w:r>
        <w:rPr>
          <w:rFonts w:cs="Courier" w:ascii="Courier" w:hAnsi="Courier"/>
          <w:sz w:val="16"/>
        </w:rPr>
        <w:t>CSU         City of Colorado Spgs                    RM</w:t>
      </w:r>
    </w:p>
    <w:p>
      <w:pPr>
        <w:pStyle w:val="Normal"/>
        <w:rPr>
          <w:rFonts w:ascii="Courier" w:hAnsi="Courier" w:cs="Courier"/>
          <w:sz w:val="16"/>
        </w:rPr>
      </w:pPr>
      <w:r>
        <w:rPr>
          <w:rFonts w:cs="Courier" w:ascii="Courier" w:hAnsi="Courier"/>
          <w:sz w:val="16"/>
        </w:rPr>
        <w:t>DGT         Deseret                                  RM</w:t>
      </w:r>
    </w:p>
    <w:p>
      <w:pPr>
        <w:pStyle w:val="Normal"/>
        <w:rPr>
          <w:rFonts w:ascii="Courier" w:hAnsi="Courier" w:cs="Courier"/>
          <w:sz w:val="16"/>
        </w:rPr>
      </w:pPr>
      <w:r>
        <w:rPr>
          <w:rFonts w:cs="Courier" w:ascii="Courier" w:hAnsi="Courier"/>
          <w:sz w:val="16"/>
        </w:rPr>
        <w:t>PRPA        Platte River Power Auth                  RM</w:t>
      </w:r>
    </w:p>
    <w:p>
      <w:pPr>
        <w:pStyle w:val="Normal"/>
        <w:rPr>
          <w:rFonts w:ascii="Courier" w:hAnsi="Courier" w:cs="Courier"/>
          <w:sz w:val="16"/>
        </w:rPr>
      </w:pPr>
      <w:r>
        <w:rPr>
          <w:rFonts w:cs="Courier" w:ascii="Courier" w:hAnsi="Courier"/>
          <w:sz w:val="16"/>
        </w:rPr>
        <w:t>PSCO        Public Service CO                        RM</w:t>
      </w:r>
    </w:p>
    <w:p>
      <w:pPr>
        <w:pStyle w:val="Normal"/>
        <w:rPr>
          <w:rFonts w:ascii="Courier" w:hAnsi="Courier" w:cs="Courier"/>
          <w:sz w:val="16"/>
        </w:rPr>
      </w:pPr>
      <w:r>
        <w:rPr>
          <w:rFonts w:cs="Courier" w:ascii="Courier" w:hAnsi="Courier"/>
          <w:sz w:val="16"/>
        </w:rPr>
        <w:t>TSGT        Tri-State Gen &amp; Trans                    RM</w:t>
      </w:r>
    </w:p>
    <w:p>
      <w:pPr>
        <w:pStyle w:val="Normal"/>
        <w:rPr>
          <w:rFonts w:ascii="Courier" w:hAnsi="Courier" w:cs="Courier"/>
          <w:sz w:val="16"/>
        </w:rPr>
      </w:pPr>
      <w:r>
        <w:rPr>
          <w:rFonts w:cs="Courier" w:ascii="Courier" w:hAnsi="Courier"/>
          <w:sz w:val="16"/>
        </w:rPr>
        <w:t>UAMP        UT Assoc Muni Power                      RM</w:t>
      </w:r>
    </w:p>
    <w:p>
      <w:pPr>
        <w:pStyle w:val="Normal"/>
        <w:rPr>
          <w:rFonts w:ascii="Courier" w:hAnsi="Courier" w:cs="Courier"/>
          <w:sz w:val="16"/>
        </w:rPr>
      </w:pPr>
      <w:r>
        <w:rPr>
          <w:rFonts w:cs="Courier" w:ascii="Courier" w:hAnsi="Courier"/>
          <w:sz w:val="16"/>
        </w:rPr>
        <w:t>UMPA        UT Muni Power Agy                        RM</w:t>
      </w:r>
    </w:p>
    <w:p>
      <w:pPr>
        <w:pStyle w:val="Normal"/>
        <w:rPr>
          <w:rFonts w:ascii="Courier" w:hAnsi="Courier" w:cs="Courier"/>
          <w:sz w:val="16"/>
        </w:rPr>
      </w:pPr>
      <w:r>
        <w:rPr>
          <w:rFonts w:cs="Courier" w:ascii="Courier" w:hAnsi="Courier"/>
          <w:sz w:val="16"/>
        </w:rPr>
        <w:t>WAPLOV      WAPA Loveland                            RM</w:t>
      </w:r>
    </w:p>
    <w:p>
      <w:pPr>
        <w:pStyle w:val="Normal"/>
        <w:rPr>
          <w:rFonts w:ascii="Courier" w:hAnsi="Courier" w:cs="Courier"/>
          <w:sz w:val="16"/>
        </w:rPr>
      </w:pPr>
      <w:r>
        <w:rPr>
          <w:rFonts w:cs="Courier" w:ascii="Courier" w:hAnsi="Courier"/>
          <w:sz w:val="16"/>
        </w:rPr>
        <w:t>WAPSAL      WAPA Salt Lake City                      RM</w:t>
      </w:r>
    </w:p>
    <w:p>
      <w:pPr>
        <w:pStyle w:val="Normal"/>
        <w:rPr>
          <w:rFonts w:ascii="Courier" w:hAnsi="Courier" w:cs="Courier"/>
          <w:sz w:val="16"/>
        </w:rPr>
      </w:pPr>
      <w:r>
        <w:rPr>
          <w:rFonts w:cs="Courier" w:ascii="Courier" w:hAnsi="Courier"/>
          <w:sz w:val="16"/>
        </w:rPr>
        <w:t>WEPLCO      West Plains Energy                       RM</w:t>
      </w:r>
    </w:p>
    <w:p>
      <w:pPr>
        <w:pStyle w:val="Normal"/>
        <w:pBdr>
          <w:bottom w:val="single" w:sz="4" w:space="1" w:color="000000"/>
        </w:pBdr>
        <w:rPr>
          <w:rFonts w:ascii="Courier" w:hAnsi="Courier" w:cs="Courier"/>
          <w:sz w:val="16"/>
        </w:rPr>
      </w:pPr>
      <w:r>
        <w:rPr>
          <w:rFonts w:cs="Courier" w:ascii="Courier" w:hAnsi="Courier"/>
          <w:sz w:val="16"/>
        </w:rPr>
      </w:r>
    </w:p>
    <w:p>
      <w:pPr>
        <w:pStyle w:val="Normal"/>
        <w:ind w:firstLine="720" w:end="0"/>
        <w:rPr>
          <w:rFonts w:ascii="Courier" w:hAnsi="Courier" w:cs="Courier"/>
          <w:sz w:val="16"/>
        </w:rPr>
      </w:pPr>
      <w:r>
        <w:rPr>
          <w:rFonts w:cs="Courier" w:ascii="Courier" w:hAnsi="Courier"/>
          <w:sz w:val="16"/>
        </w:rPr>
      </w:r>
    </w:p>
    <w:p>
      <w:pPr>
        <w:pStyle w:val="Normal"/>
        <w:ind w:firstLine="720" w:end="0"/>
        <w:rPr/>
      </w:pPr>
      <w:r>
        <w:rPr/>
      </w:r>
    </w:p>
    <w:p>
      <w:pPr>
        <w:pStyle w:val="BodyTextIndent"/>
        <w:rPr/>
      </w:pPr>
      <w:r>
        <w:rPr/>
        <w:t>Aside from these sources of historical actual loads, we have several sources of forecasts that could be used to benchmark our forecasts, or simply as other opinions for comparison.  The CAISO publishes its own forecast of day-ahead hourly loads, and updates it throughout the day.  PIRA Energy Group publishes a daily forecast of average, on-peak, off-peak, and peak hour demand for the coming week for each region in the West.  (They actually break out the West into several sub-regions, most noticeably dividing California into NP, SP, and LADWP.)  The WSCC, in its annual Summary of Estimated Loads and Resources, offers ten-year projections of monthly energy and peak demand.  Of these sources, we currently offer only the ISO forecast on the website or in our database.  I have been collecting in Excel form the PIRA forecasts since late last year, and these eventually could be (and, indeed, should be) stored in the database as well as published on the website on a daily basis.  As a caution, however, I have not verified that PIRA’s definition of Western regions coincides with ours.</w:t>
      </w:r>
    </w:p>
    <w:p>
      <w:pPr>
        <w:pStyle w:val="BodyTextIndent"/>
        <w:rPr/>
      </w:pPr>
      <w:r>
        <w:rPr/>
      </w:r>
    </w:p>
    <w:p>
      <w:pPr>
        <w:pStyle w:val="Normal"/>
        <w:rPr/>
      </w:pPr>
      <w:r>
        <w:rPr/>
        <w:t xml:space="preserve">Once we had collected and reviewed these various sources, we performed various tests to determine accuracy and reconcile various accounting issues with respect to which loads/control areas belonged in what regions.  As mentioned above, a thorough comparison of NWPP loads and 714 loads for each control area in the region revealed remarkable congruence between the two sources, both on the basis of monthly average energy as well as peak hourly demand.  </w:t>
      </w:r>
      <w:r>
        <w:rPr>
          <w:b/>
          <w:bCs/>
        </w:rPr>
        <w:t>Figure 1</w:t>
      </w:r>
      <w:r>
        <w:rPr/>
        <w:t xml:space="preserve"> below shows a comparison of NWPP and 714 data (peak and monthly average demand) for the sum of the three largest load serving entities in PNW-US (BPA, PacifCorp, and Puget Sound) for the year 1999, illustrating how well these two datasets correlate.  It is worth noting that, even though we do not forecast the Canadian portion of the WSCC, the data for these entities correlated even better, giving further confidence to these two sources.</w:t>
      </w:r>
    </w:p>
    <w:p>
      <w:pPr>
        <w:pStyle w:val="Normal"/>
        <w:rPr/>
      </w:pPr>
      <w:r>
        <w:rPr/>
      </w:r>
    </w:p>
    <w:p>
      <w:pPr>
        <w:pStyle w:val="BodyTextIndent"/>
        <w:rPr/>
      </w:pPr>
      <w:r>
        <w:rPr/>
        <w:t xml:space="preserve"> </w:t>
      </w:r>
    </w:p>
    <w:p>
      <w:pPr>
        <w:pStyle w:val="Normal"/>
        <w:keepNext w:val="true"/>
        <w:rPr/>
      </w:pPr>
      <w:r>
        <w:rPr>
          <w:b/>
          <w:bCs/>
        </w:rPr>
        <w:t>Figure 1.</w:t>
      </w:r>
      <w:r>
        <w:rPr/>
        <w:t xml:space="preserve">  A Comparison of NWPP and 714 Monthly Average and Peak Load Data</w:t>
      </w:r>
    </w:p>
    <w:p>
      <w:pPr>
        <w:pStyle w:val="Normal"/>
        <w:tabs>
          <w:tab w:val="clear" w:pos="720"/>
          <w:tab w:val="right" w:pos="9360" w:leader="none"/>
        </w:tabs>
        <w:rPr/>
      </w:pPr>
      <w:r>
        <w:rPr/>
        <w:drawing>
          <wp:inline distT="0" distB="0" distL="0" distR="0">
            <wp:extent cx="2853690" cy="1744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2853690" cy="1744345"/>
                    </a:xfrm>
                    <a:prstGeom prst="rect">
                      <a:avLst/>
                    </a:prstGeom>
                    <a:noFill/>
                  </pic:spPr>
                </pic:pic>
              </a:graphicData>
            </a:graphic>
          </wp:inline>
        </w:drawing>
      </w:r>
      <w:r>
        <w:rPr/>
        <w:tab/>
      </w:r>
      <w:r>
        <w:rPr/>
        <w:drawing>
          <wp:inline distT="0" distB="0" distL="0" distR="0">
            <wp:extent cx="2853690" cy="17443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7" r="-4" b="-7"/>
                    <a:stretch>
                      <a:fillRect/>
                    </a:stretch>
                  </pic:blipFill>
                  <pic:spPr bwMode="auto">
                    <a:xfrm>
                      <a:off x="0" y="0"/>
                      <a:ext cx="2853690" cy="1744345"/>
                    </a:xfrm>
                    <a:prstGeom prst="rect">
                      <a:avLst/>
                    </a:prstGeom>
                    <a:noFill/>
                  </pic:spPr>
                </pic:pic>
              </a:graphicData>
            </a:graphic>
          </wp:inline>
        </w:drawing>
      </w:r>
    </w:p>
    <w:p>
      <w:pPr>
        <w:pStyle w:val="Normal"/>
        <w:ind w:firstLine="720" w:end="0"/>
        <w:rPr/>
      </w:pPr>
      <w:r>
        <w:rPr/>
      </w:r>
    </w:p>
    <w:p>
      <w:pPr>
        <w:pStyle w:val="Normal"/>
        <w:rPr/>
      </w:pPr>
      <w:r>
        <w:rPr/>
      </w:r>
    </w:p>
    <w:p>
      <w:pPr>
        <w:pStyle w:val="Normal"/>
        <w:rPr/>
      </w:pPr>
      <w:r>
        <w:rPr/>
      </w:r>
    </w:p>
    <w:p>
      <w:pPr>
        <w:pStyle w:val="Normal"/>
        <w:ind w:firstLine="720" w:end="0"/>
        <w:rPr/>
      </w:pPr>
      <w:r>
        <w:rPr/>
        <w:t>Armed with this information, the next step was to compare the WSCC data to determine its reliability.  The analysis focused this time only on average monthly loads, comparing WSCC PNW figures with NWPP numbers for 1997-99.  Again, there was in general a high level of agreement.  While there were some minor, yet apparently random, discrepancies across the months, the average difference was less than 0.3% (and less than 0.09% in 1998-99, which is the historical period over which we ultimately estimated the model).</w:t>
      </w:r>
    </w:p>
    <w:p>
      <w:pPr>
        <w:pStyle w:val="Normal"/>
        <w:rPr/>
      </w:pPr>
      <w:r>
        <w:rPr/>
      </w:r>
    </w:p>
    <w:p>
      <w:pPr>
        <w:pStyle w:val="Normal"/>
        <w:ind w:firstLine="720" w:end="0"/>
        <w:rPr/>
      </w:pPr>
      <w:r>
        <w:rPr/>
        <w:t>This analysis led to two conclusions.  First, WSCC data were verified against two other independent sources.  This, plus the fact that over the years the WSCC appears to have reported loads in a complete and consistent manner that is comparable across both time and among regions, led us to settle on WSCC data as our “benchmark” data set.  Second, 714 data seem to have a sufficient level of accuracy to be used as the historical dataset for deriving hourly load shapes, so long as we exercise proper care to minimize the effect of various reporting inconsistencies and regional accounting issues that occasionally appear.</w:t>
      </w:r>
    </w:p>
    <w:p>
      <w:pPr>
        <w:pStyle w:val="Normal"/>
        <w:ind w:firstLine="720" w:end="0"/>
        <w:rPr/>
      </w:pPr>
      <w:r>
        <w:rPr/>
      </w:r>
    </w:p>
    <w:p>
      <w:pPr>
        <w:pStyle w:val="Normal"/>
        <w:ind w:firstLine="720" w:end="0"/>
        <w:rPr/>
      </w:pPr>
      <w:r>
        <w:rPr/>
        <w:t xml:space="preserve">The reason 714 data by themselves cannot be used (that is, without some sort of calibration or benchmarking) became apparent as we examined these data in time series and across other regions.  We began with the PNW-US region, looking at a four-year record (1996-99) of monthly average 714 loads compared with WSCC loads.  </w:t>
      </w:r>
      <w:r>
        <w:rPr>
          <w:b/>
          <w:bCs/>
        </w:rPr>
        <w:t>Figure 2</w:t>
      </w:r>
      <w:r>
        <w:rPr/>
        <w:t xml:space="preserve"> below shows the difference between these two sources:</w:t>
      </w:r>
    </w:p>
    <w:p>
      <w:pPr>
        <w:pStyle w:val="Normal"/>
        <w:keepNext w:val="true"/>
        <w:ind w:firstLine="720" w:end="0"/>
        <w:rPr/>
      </w:pPr>
      <w:r>
        <w:rPr>
          <w:b/>
          <w:bCs/>
        </w:rPr>
        <w:t>Figure 2.</w:t>
      </w:r>
      <w:r>
        <w:rPr/>
        <w:t xml:space="preserve"> Comparison of 714 and WSCC Data, PNW-US.</w:t>
      </w:r>
    </w:p>
    <w:p>
      <w:pPr>
        <w:pStyle w:val="Normal"/>
        <w:jc w:val="center"/>
        <w:rPr/>
      </w:pPr>
      <w:r>
        <w:rPr/>
        <w:drawing>
          <wp:inline distT="0" distB="0" distL="0" distR="0">
            <wp:extent cx="5052695" cy="345122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7" r="-4" b="-7"/>
                    <a:stretch>
                      <a:fillRect/>
                    </a:stretch>
                  </pic:blipFill>
                  <pic:spPr bwMode="auto">
                    <a:xfrm>
                      <a:off x="0" y="0"/>
                      <a:ext cx="5052695" cy="3451225"/>
                    </a:xfrm>
                    <a:prstGeom prst="rect">
                      <a:avLst/>
                    </a:prstGeom>
                    <a:noFill/>
                  </pic:spPr>
                </pic:pic>
              </a:graphicData>
            </a:graphic>
          </wp:inline>
        </w:drawing>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As evident, the 714 data underwent some sort of year-on-year reporting or structural change.  Nevertheless, the overall difference was very small on a percent of total load, especially for the last two years available, 1998-99.  Our solution to this was simply to calibrate them to the WSCC numbers, scaling down the hourly 714 data by month in 1999 on a percentage basis so that the monthly average was then identical to the figures reported by the WSCC.  So, for example, the graph above indicates that in January 1999, loads in PNW-US as reported by 714 were, on average, about 204 MW (0.69%) greater than those reported by WSCC.  Thus, each hour in the 714 dataset for January 1999 was reduced by 0.69% to produce an “adjusted” hourly load data set for PNW-US.</w:t>
      </w:r>
    </w:p>
    <w:p>
      <w:pPr>
        <w:pStyle w:val="Normal"/>
        <w:ind w:firstLine="720" w:end="0"/>
        <w:rPr/>
      </w:pPr>
      <w:r>
        <w:rPr/>
      </w:r>
    </w:p>
    <w:p>
      <w:pPr>
        <w:pStyle w:val="Normal"/>
        <w:ind w:firstLine="720" w:end="0"/>
        <w:rPr/>
      </w:pPr>
      <w:r>
        <w:rPr/>
        <w:t>Turning to the RM and DSW regions, we unfortunately discovered greater levels of discrepancy.  In addition, we did not have a third source against which to check 714 and WSCC data as we did in the case of the NWPP in PNW-US.  For the RM region, initial graphing of the data as compared with WSCC indicated either missing control areas or some other sort of structural change.  Closer investigation of the 714 data revealed that two of the control areas – Platte River Power Authority (PRPA) and Tri-State Generation and Transmission (TSGT) – did not report in all of the years.  PRPA was missing from 1997, and TSGT was absent from 1996 and 1999.</w:t>
      </w:r>
    </w:p>
    <w:p>
      <w:pPr>
        <w:pStyle w:val="Normal"/>
        <w:ind w:firstLine="720" w:end="0"/>
        <w:rPr/>
      </w:pPr>
      <w:r>
        <w:rPr/>
      </w:r>
    </w:p>
    <w:p>
      <w:pPr>
        <w:pStyle w:val="Normal"/>
        <w:ind w:firstLine="720" w:end="0"/>
        <w:rPr/>
      </w:pPr>
      <w:r>
        <w:rPr/>
        <w:t xml:space="preserve">Using data from the years that they did report, we ran regressions and filled in the missing years with estimated hourly values for these two control areas.  The resulting RM region correlated much more closely with WSCC figures.  </w:t>
      </w:r>
      <w:r>
        <w:rPr>
          <w:b/>
          <w:bCs/>
        </w:rPr>
        <w:t>Figures 3</w:t>
      </w:r>
      <w:r>
        <w:rPr/>
        <w:t xml:space="preserve"> and </w:t>
      </w:r>
      <w:r>
        <w:rPr>
          <w:b/>
          <w:bCs/>
        </w:rPr>
        <w:t>4</w:t>
      </w:r>
      <w:r>
        <w:rPr/>
        <w:t xml:space="preserve"> below show comparisons of RM 714 and WSCC monthly average data before adding the estimated TSGT and PRPA missing years, and after.  We then took this partially reconstructed dataset and applied the same type of proportional monthly adjustment as with the PNW-US data to create an adjusted RM hourly dataset for use in the model.</w:t>
      </w:r>
    </w:p>
    <w:p>
      <w:pPr>
        <w:pStyle w:val="Normal"/>
        <w:rPr/>
      </w:pPr>
      <w:r>
        <w:rPr/>
      </w:r>
    </w:p>
    <w:p>
      <w:pPr>
        <w:pStyle w:val="Normal"/>
        <w:keepNext w:val="true"/>
        <w:ind w:firstLine="720" w:end="0"/>
        <w:rPr/>
      </w:pPr>
      <w:r>
        <w:rPr>
          <w:b/>
          <w:bCs/>
        </w:rPr>
        <w:t>Figure 3.</w:t>
      </w:r>
      <w:r>
        <w:rPr/>
        <w:t xml:space="preserve">  Comparison of 714 and WSCC Data, RM, Without Missing PRPA and TSGT Years</w:t>
      </w:r>
    </w:p>
    <w:p>
      <w:pPr>
        <w:pStyle w:val="Normal"/>
        <w:jc w:val="center"/>
        <w:rPr/>
      </w:pPr>
      <w:r>
        <w:rPr/>
        <w:drawing>
          <wp:inline distT="0" distB="0" distL="0" distR="0">
            <wp:extent cx="5052695" cy="346773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7" r="-4" b="-7"/>
                    <a:stretch>
                      <a:fillRect/>
                    </a:stretch>
                  </pic:blipFill>
                  <pic:spPr bwMode="auto">
                    <a:xfrm>
                      <a:off x="0" y="0"/>
                      <a:ext cx="5052695" cy="3467735"/>
                    </a:xfrm>
                    <a:prstGeom prst="rect">
                      <a:avLst/>
                    </a:prstGeom>
                    <a:noFill/>
                  </pic:spPr>
                </pic:pic>
              </a:graphicData>
            </a:graphic>
          </wp:inline>
        </w:drawing>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keepNext w:val="true"/>
        <w:ind w:start="720" w:end="0"/>
        <w:rPr/>
      </w:pPr>
      <w:r>
        <w:rPr>
          <w:b/>
          <w:bCs/>
        </w:rPr>
        <w:t>Figure 4.</w:t>
      </w:r>
      <w:r>
        <w:rPr/>
        <w:t xml:space="preserve">  Comparison of 714 and WSCC Data, RM, After Including Estimation of Missing PRPA and TSGT Years</w:t>
      </w:r>
    </w:p>
    <w:p>
      <w:pPr>
        <w:pStyle w:val="Normal"/>
        <w:jc w:val="center"/>
        <w:rPr/>
      </w:pPr>
      <w:bookmarkStart w:id="0" w:name="_1051620315"/>
      <w:bookmarkStart w:id="1" w:name="_1051620289"/>
      <w:bookmarkEnd w:id="0"/>
      <w:bookmarkEnd w:id="1"/>
      <w:r>
        <w:rPr/>
        <w:object w:dxaOrig="7951" w:dyaOrig="543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97.55pt;height:271.55pt" filled="f" o:ole="">
            <v:imagedata r:id="rId7" o:title=""/>
          </v:shape>
          <o:OLEObject Type="Embed" ProgID="" ShapeID="ole_rId6" DrawAspect="Content" ObjectID="_55510296" r:id="rId6"/>
        </w:object>
      </w:r>
    </w:p>
    <w:p>
      <w:pPr>
        <w:pStyle w:val="Normal"/>
        <w:rPr/>
      </w:pPr>
      <w:r>
        <w:rPr/>
      </w:r>
    </w:p>
    <w:p>
      <w:pPr>
        <w:pStyle w:val="Normal"/>
        <w:rPr/>
      </w:pPr>
      <w:r>
        <w:rPr/>
        <w:tab/>
        <w:t xml:space="preserve">The DSW region was the worst match with WSCC data of all four regions in the West, as shown in </w:t>
      </w:r>
      <w:r>
        <w:rPr>
          <w:b/>
          <w:bCs/>
        </w:rPr>
        <w:t xml:space="preserve">Figure 5 </w:t>
      </w:r>
      <w:r>
        <w:rPr/>
        <w:t>below.  Various efforts to discover the source of this discrepancy were not successful.  Among the theories tested were moving certain control areas (e.g., Nevada Power, IID) in and out of the region, excluding WAPA Lower Colorado loads, and even an exercise whereby control areas were added to the aggregate one at a time to see if some particular combination resulted in a noticeably better fit with the WSCC data.  In the end, no explanation was found, and we simply resorted to applying the same proportional adjustment technique to the 714 data as with PNW-US and RM.</w:t>
      </w:r>
    </w:p>
    <w:p>
      <w:pPr>
        <w:pStyle w:val="Normal"/>
        <w:rPr/>
      </w:pPr>
      <w:r>
        <w:rPr/>
      </w:r>
    </w:p>
    <w:p>
      <w:pPr>
        <w:pStyle w:val="Normal"/>
        <w:rPr/>
      </w:pPr>
      <w:r>
        <w:rPr/>
      </w:r>
    </w:p>
    <w:p>
      <w:pPr>
        <w:pStyle w:val="Normal"/>
        <w:keepNext w:val="true"/>
        <w:ind w:firstLine="720" w:end="0"/>
        <w:rPr/>
      </w:pPr>
      <w:r>
        <w:rPr>
          <w:b/>
          <w:bCs/>
        </w:rPr>
        <w:t>Figure 5.</w:t>
      </w:r>
      <w:r>
        <w:rPr/>
        <w:t xml:space="preserve">  Comparison of 714 and WSCC Data, DSW Region</w:t>
      </w:r>
    </w:p>
    <w:p>
      <w:pPr>
        <w:pStyle w:val="Normal"/>
        <w:jc w:val="center"/>
        <w:rPr/>
      </w:pPr>
      <w:r>
        <w:rPr/>
        <w:drawing>
          <wp:inline distT="0" distB="0" distL="0" distR="0">
            <wp:extent cx="5052695" cy="34563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4" t="-7" r="-4" b="-7"/>
                    <a:stretch>
                      <a:fillRect/>
                    </a:stretch>
                  </pic:blipFill>
                  <pic:spPr bwMode="auto">
                    <a:xfrm>
                      <a:off x="0" y="0"/>
                      <a:ext cx="5052695" cy="3456305"/>
                    </a:xfrm>
                    <a:prstGeom prst="rect">
                      <a:avLst/>
                    </a:prstGeom>
                    <a:noFill/>
                  </pic:spPr>
                </pic:pic>
              </a:graphicData>
            </a:graphic>
          </wp:inline>
        </w:drawing>
      </w:r>
    </w:p>
    <w:p>
      <w:pPr>
        <w:pStyle w:val="Normal"/>
        <w:jc w:val="center"/>
        <w:rPr/>
      </w:pPr>
      <w:r>
        <w:rPr/>
      </w:r>
    </w:p>
    <w:p>
      <w:pPr>
        <w:pStyle w:val="Normal"/>
        <w:rPr/>
      </w:pPr>
      <w:r>
        <w:rPr/>
      </w:r>
    </w:p>
    <w:p>
      <w:pPr>
        <w:pStyle w:val="Normal"/>
        <w:rPr/>
      </w:pPr>
      <w:r>
        <w:rPr/>
        <w:tab/>
        <w:t>Finally, we turned to the CA region.  As noted above in the description of data sources, the CAISO data have the distinct advantage of being available real-time.  Moreover, experience with them has shown that for the most part they are reliable, with the occasional exception of missing data, and the rare case of an apparently bad data point here or there.  The only challenge, then, was determining which control areas were not included in the CAISO data.  Although the control areas outside of CAISO have changed since its inception, it appears that over the last couple of years at least, LADWP and IID are the two major control areas entirely within California that are excluded from the CAISO.  A comparison of total California load, defined as CAISO data plus714 data for LADWP and IID, with WSCC data, indicated a high level of correlation.  Figure 6 below compares these two sets of data.  The three months where there are noticeable discrepancies are due to missing data from the CAISO.  Otherwise, we concluded that the match was sufficient not to require any adjustment.</w:t>
      </w:r>
    </w:p>
    <w:p>
      <w:pPr>
        <w:pStyle w:val="Normal"/>
        <w:rPr/>
      </w:pPr>
      <w:r>
        <w:rPr/>
      </w:r>
    </w:p>
    <w:p>
      <w:pPr>
        <w:pStyle w:val="Normal"/>
        <w:rPr/>
      </w:pPr>
      <w:r>
        <w:rPr/>
        <w:tab/>
        <w:t>The end result of these analyses was the compilation of an hourly dataset for each of the four U.S. WSCC regions that, with minor adjustments, matches on a monthly MWa basis the loads reported in the annual WSCC Summary of Estimated Loads and Resources.  Currently, the most recent actual loads in this database (with the exception of that portion of CA that comprises CAISO) are from December 1999.  FERC is due to release its Form 714 data for the year 2000 later this summer, at which point some preliminary comparisons with prior years can be made.  However, until the publication later this autumn of the 2001 version of WSCC Summary of Estimated Loads and Resources (containing data for the year 2000), the regional scaling adjustments will have to wait.  Once any necessary adjustments have been completed, the model coefficients can be re-estimated.  The following section describes the model itself, and this estimation process.</w:t>
      </w:r>
    </w:p>
    <w:p>
      <w:pPr>
        <w:pStyle w:val="Normal"/>
        <w:rPr/>
      </w:pPr>
      <w:r>
        <w:rPr/>
      </w:r>
    </w:p>
    <w:p>
      <w:pPr>
        <w:pStyle w:val="Normal"/>
        <w:rPr/>
      </w:pPr>
      <w:r>
        <w:rPr/>
      </w:r>
    </w:p>
    <w:p>
      <w:pPr>
        <w:pStyle w:val="BodyTextIndent"/>
        <w:keepNext w:val="true"/>
        <w:rPr/>
      </w:pPr>
      <w:r>
        <w:rPr>
          <w:b/>
          <w:bCs/>
        </w:rPr>
        <w:t>Figure 6.</w:t>
      </w:r>
      <w:r>
        <w:rPr/>
        <w:t xml:space="preserve">  Comparison of CAISO plus 714 LADWP/IID, and WSCC Data.</w:t>
      </w:r>
    </w:p>
    <w:p>
      <w:pPr>
        <w:pStyle w:val="Normal"/>
        <w:jc w:val="center"/>
        <w:rPr/>
      </w:pPr>
      <w:bookmarkStart w:id="2" w:name="_1051680489"/>
      <w:bookmarkEnd w:id="2"/>
      <w:r>
        <w:rPr/>
        <w:object w:dxaOrig="7920" w:dyaOrig="545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97.95pt;height:274.3pt" filled="f" o:ole="">
            <v:imagedata r:id="rId10" o:title=""/>
          </v:shape>
          <o:OLEObject Type="Embed" ProgID="" ShapeID="ole_rId9" DrawAspect="Content" ObjectID="_1124532172" r:id="rId9"/>
        </w:object>
      </w:r>
    </w:p>
    <w:p>
      <w:pPr>
        <w:pStyle w:val="Normal"/>
        <w:rPr/>
      </w:pPr>
      <w:r>
        <w:rPr/>
      </w:r>
    </w:p>
    <w:sectPr>
      <w:footerReference w:type="default" r:id="rId11"/>
      <w:footerReference w:type="first" r:id="rId12"/>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64135" cy="146685"/>
              <wp:effectExtent l="0" t="0" r="0" b="0"/>
              <wp:wrapSquare wrapText="bothSides"/>
              <wp:docPr id="6"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 xml:space="preserve">This table is a result of a query from our database on the table </w:t>
      </w:r>
      <w:r>
        <w:rPr>
          <w:b/>
          <w:bCs/>
          <w:sz w:val="16"/>
        </w:rPr>
        <w:t>LkpMOD_UtilityCodes</w:t>
      </w:r>
      <w:r>
        <w:rPr>
          <w:sz w:val="16"/>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oleObject" Target="embeddings/oleObject1.bin"/><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oleObject" Target="embeddings/oleObject2.bin"/><Relationship Id="rId10" Type="http://schemas.openxmlformats.org/officeDocument/2006/relationships/image" Target="media/image7.wmf"/><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2001-10-12T12:44:00Z</dcterms:created>
  <dc:creator>sswain</dc:creator>
  <dc:description/>
  <dc:language>en-CA</dc:language>
  <cp:lastModifiedBy>sswain</cp:lastModifiedBy>
  <cp:lastPrinted>2001-05-18T13:04:00Z</cp:lastPrinted>
  <dcterms:modified xsi:type="dcterms:W3CDTF">2001-10-12T12:44:00Z</dcterms:modified>
  <cp:revision>3</cp:revision>
  <dc:subject/>
  <dc:title>The purpose of this document is to provide details associated with the development of the West Power Load Forecasting Model</dc:title>
</cp:coreProperties>
</file>