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tabs>
          <w:tab w:val="clear" w:pos="720"/>
        </w:tabs>
        <w:ind w:hanging="360" w:start="360" w:end="0"/>
        <w:rPr>
          <w:i/>
          <w:i/>
          <w:iCs/>
        </w:rPr>
      </w:pPr>
      <w:r>
        <w:rPr>
          <w:i/>
          <w:iCs/>
        </w:rPr>
        <w:t>What is the phenomenon to be explained and why is it interesting?</w:t>
      </w:r>
    </w:p>
    <w:p>
      <w:pPr>
        <w:pStyle w:val="Normal"/>
        <w:rPr>
          <w:i/>
          <w:i/>
          <w:iCs/>
        </w:rPr>
      </w:pPr>
      <w:r>
        <w:rPr>
          <w:i/>
          <w:iCs/>
        </w:rPr>
      </w:r>
    </w:p>
    <w:p>
      <w:pPr>
        <w:pStyle w:val="Normal"/>
        <w:ind w:firstLine="720" w:end="0"/>
        <w:rPr/>
      </w:pPr>
      <w:r>
        <w:rPr/>
        <w:t>The case in question addresses the tuna industry.</w:t>
      </w:r>
      <w:r>
        <w:rPr>
          <w:rStyle w:val="FootnoteCharacters"/>
          <w:rStyle w:val="FootnoteReference"/>
        </w:rPr>
        <w:footnoteReference w:id="2"/>
      </w:r>
      <w:r>
        <w:rPr/>
        <w:t xml:space="preserve">  Specifically, it examines two components of the market--harvesting and processing.  An inquiry by the FTC into the procurement of tuna by US processors provided the impetus for the study.  At issue in the inquiry was the fact that US processors paid lower prices for domestic tuna than they did for foreign tuna.  The price differential suggested that US processors possessed monopsony power and were exercising that power to keep prices for domestic tuna persistently below prices paid for comparably, foreign tuna.</w:t>
      </w:r>
    </w:p>
    <w:p>
      <w:pPr>
        <w:pStyle w:val="Normal"/>
        <w:ind w:firstLine="720" w:end="0"/>
        <w:rPr/>
      </w:pPr>
      <w:r>
        <w:rPr/>
        <w:t>The case is very interesting since it provides an excellent example of the saying, “things are not always what they seem,” or, “there’s more there than meet’s the eye.”  That is, on the surface, both the structure of the industry—exclusive dealing—and the outcome—price differentials between domestic and foreign tuna—at a minimum led the FTC to conclude that the circumstances merited scrutiny by the agency.  Observers questioned and were concerned by the fact that processors entered into contracts with exclusive dealing provisions when competitive auctions seemed to provide a more efficient and competitive means of pricing the product (tuna).</w:t>
      </w:r>
    </w:p>
    <w:p>
      <w:pPr>
        <w:pStyle w:val="Normal"/>
        <w:ind w:firstLine="720" w:end="0"/>
        <w:rPr/>
      </w:pPr>
      <w:r>
        <w:rPr/>
        <w:t xml:space="preserve">Upon further inspection, however, the author of the case concludes that the opposite is true.  That is, the structure and institutions observed in the industry could result in </w:t>
      </w:r>
      <w:r>
        <w:rPr>
          <w:i/>
          <w:iCs/>
        </w:rPr>
        <w:t>more</w:t>
      </w:r>
      <w:r>
        <w:rPr/>
        <w:t xml:space="preserve"> efficient outcomes than would be the case with traditional institutions, i.e., competitive bidding.  </w:t>
      </w:r>
    </w:p>
    <w:p>
      <w:pPr>
        <w:pStyle w:val="Normal"/>
        <w:ind w:firstLine="720" w:end="0"/>
        <w:rPr/>
      </w:pPr>
      <w:r>
        <w:rPr/>
        <w:t>Gallick argues that the specific institutions in place between US processors and harvesters developed for two fundamental reasons.  First, tuna attributes demanded by the US market differ from the attributes valued in foreign tuna markets.  This difference arises from the fact that in the US, tuna is generally processed for canning, which is not necessarily the case in foreign markets.  Second, a significant technological change altered the types of boats and harvesting practices used to catch the tuna.  The old boats were smaller and used a hook-and-line technology to harvest the tuna.  The new boats were larger and used a net technology.</w:t>
      </w:r>
    </w:p>
    <w:p>
      <w:pPr>
        <w:pStyle w:val="Normal"/>
        <w:ind w:firstLine="720" w:end="0"/>
        <w:rPr/>
      </w:pPr>
      <w:r>
        <w:rPr/>
        <w:t>In the end Gallick concludes that the institutions arose for very specific reasons, that they helped explain the difference in prices paid for domestic and foreign tuna, that despite appearances, the industry was reasonably competitive, and that consumers benefited from increased supply and lower prices as a result.</w:t>
      </w:r>
    </w:p>
    <w:p>
      <w:pPr>
        <w:pStyle w:val="Normal"/>
        <w:rPr/>
      </w:pPr>
      <w:r>
        <w:rPr/>
      </w:r>
    </w:p>
    <w:p>
      <w:pPr>
        <w:pStyle w:val="Normal"/>
        <w:numPr>
          <w:ilvl w:val="0"/>
          <w:numId w:val="1"/>
        </w:numPr>
        <w:rPr/>
      </w:pPr>
      <w:r>
        <w:rPr>
          <w:i/>
          <w:iCs/>
        </w:rPr>
        <w:t>What explanations does the author of the study offer for the observed facts?</w:t>
      </w:r>
    </w:p>
    <w:p>
      <w:pPr>
        <w:pStyle w:val="BodyTextIndent"/>
        <w:rPr/>
      </w:pPr>
      <w:r>
        <w:rPr/>
        <w:t xml:space="preserve">Gallick argues that the essence of the institutional arrangements between the processors and harvesters arises from the costly processes associated with sorting and pre-purchase search that accompany a pricing mechanism based on competitive bidding.  These search and pre-purchase costs are perhaps tolerable in foreign markets, where slight variations in freshness type of tuna are highly valued.  However, they are less tolerable in the US market, where the lion’s share of tuna is processed for canning. </w:t>
      </w:r>
    </w:p>
    <w:p>
      <w:pPr>
        <w:pStyle w:val="BodyTextIndent"/>
        <w:rPr/>
      </w:pPr>
      <w:r>
        <w:rPr/>
        <w:t>Gallick notes that the market might attempt to avoid these costs by having processors buy an entire harvester’s catch at some average price.  He then explains that the problem—and the additional costs—would persist nonetheless.  The problem would persist because both the harvester and the processor would have the incentive to profit from the “average price” mechanism used, which in turn would impose additional, redundant costs tied to sorting and pre-purchase searching.</w:t>
      </w:r>
    </w:p>
    <w:p>
      <w:pPr>
        <w:pStyle w:val="BodyTextIndent"/>
        <w:rPr/>
      </w:pPr>
      <w:r>
        <w:rPr/>
        <w:t xml:space="preserve">To avoid these costs, Gallick asserts, the processors entered into exclusive dealing arrangements with the harvesters.  In this way, the processor enjoys lower cost tuna and the harvester enjoys the certainty that her catch will be sold.  In short, both participants benefit from the arrangement.  </w:t>
      </w:r>
    </w:p>
    <w:p>
      <w:pPr>
        <w:pStyle w:val="BodyTextIndent"/>
        <w:rPr/>
      </w:pPr>
      <w:r>
        <w:rPr/>
        <w:t>Gallick argues that the exclusive dealing arrangement creates an additional problem, however.  According to Gallick, the exclusive dealing provision of the contract effectively makes the tuna harvest a specialized asset.  This occurs because, under the terms of the contract, the harvester can’t sell the catch to another processor.  And if the harvester tried to sell to someone other than a processor, the likely candidates would be manufacturers of pet food, fertilizer, and fish oil.  Prices paid for tuna in these uses is substantially below prices paid by processors.</w:t>
      </w:r>
    </w:p>
    <w:p>
      <w:pPr>
        <w:pStyle w:val="BodyTextIndent"/>
        <w:rPr/>
      </w:pPr>
      <w:r>
        <w:rPr/>
        <w:t>Gallick suggests that the specialized nature of the tuna asset would permit the processor to hold up the harvester, either by delay in unloading and/or forcing price concessions.  In response, the harvester would use “implicit” contracting to reduce the processor’s incentive to hold her up.  For example, the harvester might offer to pay the processor a premium.  If the processor attempts to hold up the harvester, the processor would risk losing both the premium and any future business.  And given that the boats used at the time of these arrangements were small, it is likely that the gains made from holding up a single boat fell far short of the potential loss from losing both future premiums and future business.  Gallick views the additional cost to the harvester of paying the premium as a cost associated with exclusive dealing.</w:t>
      </w:r>
    </w:p>
    <w:p>
      <w:pPr>
        <w:pStyle w:val="Header"/>
        <w:tabs>
          <w:tab w:val="clear" w:pos="4320"/>
          <w:tab w:val="clear" w:pos="8640"/>
        </w:tabs>
        <w:rPr/>
      </w:pPr>
      <w:r>
        <w:rPr/>
      </w:r>
    </w:p>
    <w:sectPr>
      <w:headerReference w:type="default" r:id="rId2"/>
      <w:footnotePr>
        <w:numFmt w:val="decimal"/>
      </w:footnotePr>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Gallick, Edward C., “Exclusive Dealing and Vertical Integration:  The Efficiency of Contracts in the Tuna Industry.”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Jeffrey Dasovich</w:t>
    </w:r>
  </w:p>
  <w:p>
    <w:pPr>
      <w:pStyle w:val="Header"/>
      <w:jc w:val="end"/>
      <w:rPr/>
    </w:pPr>
    <w:r>
      <w:rPr/>
      <w:t>Professor Shelansky/E278</w:t>
    </w:r>
  </w:p>
  <w:p>
    <w:pPr>
      <w:pStyle w:val="Header"/>
      <w:jc w:val="end"/>
      <w:rPr/>
    </w:pPr>
    <w:r>
      <w:rPr/>
      <w:t>Tuna Case</w:t>
    </w:r>
  </w:p>
  <w:p>
    <w:pPr>
      <w:pStyle w:val="Header"/>
      <w:jc w:val="end"/>
      <w:rPr/>
    </w:pPr>
    <w:r>
      <w:rPr/>
      <w:t>November 27, 2001</w:t>
    </w:r>
  </w:p>
  <w:p>
    <w:pPr>
      <w:pStyle w:val="Header"/>
      <w:rPr/>
    </w:pPr>
    <w:r>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BodyTextIndent">
    <w:name w:val="Body Text Indent"/>
    <w:basedOn w:val="Normal"/>
    <w:pPr>
      <w:ind w:firstLine="72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2001-11-27T19:11:00Z</dcterms:created>
  <dc:creator>jdasovic</dc:creator>
  <dc:description/>
  <dc:language>en-CA</dc:language>
  <cp:lastModifiedBy>jdasovic</cp:lastModifiedBy>
  <dcterms:modified xsi:type="dcterms:W3CDTF">2001-11-27T22:36:00Z</dcterms:modified>
  <cp:revision>13</cp:revision>
  <dc:subject/>
  <dc:title>1</dc:title>
</cp:coreProperties>
</file>