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RENEWABLE FUELS ACT OF 2000</w:t>
      </w:r>
    </w:p>
    <w:p>
      <w:pPr>
        <w:pStyle w:val="Normal"/>
        <w:rPr/>
      </w:pPr>
      <w:r>
        <w:rPr/>
        <w:t>Sponsored by Senators Daschle and Lugar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1.  SHORT TITLE </w:t>
      </w:r>
    </w:p>
    <w:p>
      <w:pPr>
        <w:pStyle w:val="Normal"/>
        <w:rPr/>
      </w:pPr>
      <w:r>
        <w:rPr/>
        <w:t>The Act is cited as the "Renewable Fuels Act of 2000".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2.  CONTROL OF MTBE</w:t>
      </w:r>
    </w:p>
    <w:p>
      <w:pPr>
        <w:pStyle w:val="Normal"/>
        <w:rPr/>
      </w:pPr>
      <w:r>
        <w:rPr/>
        <w:t>State Authority to Regulate MTBE:  A state may seek to regulate MTBE, for the</w:t>
      </w:r>
    </w:p>
    <w:p>
      <w:pPr>
        <w:pStyle w:val="Normal"/>
        <w:rPr/>
      </w:pPr>
      <w:r>
        <w:rPr/>
        <w:t>purpose of protecting water or soil quality, by submitting a petition to the EPA</w:t>
      </w:r>
    </w:p>
    <w:p>
      <w:pPr>
        <w:pStyle w:val="Normal"/>
        <w:rPr/>
      </w:pPr>
      <w:r>
        <w:rPr/>
        <w:t>Administrator for authority to take such action.  The Administrator must provide</w:t>
      </w:r>
    </w:p>
    <w:p>
      <w:pPr>
        <w:pStyle w:val="Normal"/>
        <w:rPr/>
      </w:pPr>
      <w:r>
        <w:rPr/>
        <w:t>public notice and opportunity for comment in deciding to grant or deny each</w:t>
      </w:r>
    </w:p>
    <w:p>
      <w:pPr>
        <w:pStyle w:val="Normal"/>
        <w:rPr/>
      </w:pPr>
      <w:r>
        <w:rPr/>
        <w:t xml:space="preserve">petition.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EPA Duty to Regulate MTBE:  The EPA Administrator is required to establish</w:t>
      </w:r>
    </w:p>
    <w:p>
      <w:pPr>
        <w:pStyle w:val="Normal"/>
        <w:rPr/>
      </w:pPr>
      <w:r>
        <w:rPr/>
        <w:t>regulations to ensure that all gasoline introduced into commerce by January 1,</w:t>
      </w:r>
    </w:p>
    <w:p>
      <w:pPr>
        <w:pStyle w:val="Normal"/>
        <w:rPr/>
      </w:pPr>
      <w:r>
        <w:rPr/>
        <w:t>2004 does not contain MTBE in excess of a level that the Administrator</w:t>
      </w:r>
    </w:p>
    <w:p>
      <w:pPr>
        <w:pStyle w:val="Normal"/>
        <w:rPr/>
      </w:pPr>
      <w:r>
        <w:rPr/>
        <w:t>determines may not be reasonably anticipated to endanger natural resources and</w:t>
      </w:r>
    </w:p>
    <w:p>
      <w:pPr>
        <w:pStyle w:val="Normal"/>
        <w:rPr/>
      </w:pPr>
      <w:r>
        <w:rPr/>
        <w:t xml:space="preserve">the public health.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3.  WAIVER OF RFG OXYGEN CONTENT REQUIREMENT  </w:t>
      </w:r>
    </w:p>
    <w:p>
      <w:pPr>
        <w:pStyle w:val="Normal"/>
        <w:rPr/>
      </w:pPr>
      <w:r>
        <w:rPr/>
        <w:t>State-by-State Waiver:  The Clean Air Act is amended to allow the EPA</w:t>
      </w:r>
    </w:p>
    <w:p>
      <w:pPr>
        <w:pStyle w:val="Normal"/>
        <w:rPr/>
      </w:pPr>
      <w:r>
        <w:rPr/>
        <w:t>Administrator to waive the RFG oxygen content requirement if the governor of a</w:t>
      </w:r>
    </w:p>
    <w:p>
      <w:pPr>
        <w:pStyle w:val="Normal"/>
        <w:rPr/>
      </w:pPr>
      <w:r>
        <w:rPr/>
        <w:t>state submits an application that 1) demonstrates that the state is in full</w:t>
      </w:r>
    </w:p>
    <w:p>
      <w:pPr>
        <w:pStyle w:val="Normal"/>
        <w:rPr/>
      </w:pPr>
      <w:r>
        <w:rPr/>
        <w:t>compliance with Federal regulations concerning the control and prevention of</w:t>
      </w:r>
    </w:p>
    <w:p>
      <w:pPr>
        <w:pStyle w:val="Normal"/>
        <w:rPr/>
      </w:pPr>
      <w:r>
        <w:rPr/>
        <w:t>leaking underground storage tanks; or 2) provides a plan that outlines the</w:t>
      </w:r>
    </w:p>
    <w:p>
      <w:pPr>
        <w:pStyle w:val="Normal"/>
        <w:rPr/>
      </w:pPr>
      <w:r>
        <w:rPr/>
        <w:t>measures the State will take to fully comply with the underground storage tank</w:t>
      </w:r>
    </w:p>
    <w:p>
      <w:pPr>
        <w:pStyle w:val="Normal"/>
        <w:rPr/>
      </w:pPr>
      <w:r>
        <w:rPr/>
        <w:t>regulations by a date not later than 2 years after receipt of the application of</w:t>
      </w:r>
    </w:p>
    <w:p>
      <w:pPr>
        <w:pStyle w:val="Normal"/>
        <w:rPr/>
      </w:pPr>
      <w:r>
        <w:rPr/>
        <w:t>the governor.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Anti-Backsliding; Protection of Air Quality Benefits:  The EPA Administrator is</w:t>
      </w:r>
    </w:p>
    <w:p>
      <w:pPr>
        <w:pStyle w:val="Normal"/>
        <w:rPr/>
      </w:pPr>
      <w:r>
        <w:rPr/>
        <w:t>required to revise the performance standards of the RFG program to ensure that</w:t>
      </w:r>
    </w:p>
    <w:p>
      <w:pPr>
        <w:pStyle w:val="Normal"/>
        <w:rPr/>
      </w:pPr>
      <w:r>
        <w:rPr/>
        <w:t>the ozone-forming potential, taking into account all ozone precursors of the</w:t>
      </w:r>
    </w:p>
    <w:p>
      <w:pPr>
        <w:pStyle w:val="Normal"/>
        <w:rPr/>
      </w:pPr>
      <w:r>
        <w:rPr/>
        <w:t>aggregate emissions during the high ozone season from baseline vehicles when</w:t>
      </w:r>
    </w:p>
    <w:p>
      <w:pPr>
        <w:pStyle w:val="Normal"/>
        <w:rPr/>
      </w:pPr>
      <w:r>
        <w:rPr/>
        <w:t>using non-oxygenated RFG does not exceed the ozone-forming potential of the</w:t>
      </w:r>
    </w:p>
    <w:p>
      <w:pPr>
        <w:pStyle w:val="Normal"/>
        <w:rPr/>
      </w:pPr>
      <w:r>
        <w:rPr/>
        <w:t xml:space="preserve">aggregate emissions of such vehicles using oxygenated RFG Phase II gasoline. </w:t>
      </w:r>
    </w:p>
    <w:p>
      <w:pPr>
        <w:pStyle w:val="Normal"/>
        <w:rPr/>
      </w:pPr>
      <w:r>
        <w:rPr/>
        <w:t>Moreover, the Administrator must issue regulations preventing any increase in</w:t>
      </w:r>
    </w:p>
    <w:p>
      <w:pPr>
        <w:pStyle w:val="Normal"/>
        <w:rPr/>
      </w:pPr>
      <w:r>
        <w:rPr/>
        <w:t>emissions from baseline vehicles of toxics, measured according to their</w:t>
      </w:r>
    </w:p>
    <w:p>
      <w:pPr>
        <w:pStyle w:val="Normal"/>
        <w:rPr/>
      </w:pPr>
      <w:r>
        <w:rPr/>
        <w:t>toxicity, and any other section 108 pollutants that the Administrator deems are</w:t>
      </w:r>
    </w:p>
    <w:p>
      <w:pPr>
        <w:pStyle w:val="Normal"/>
        <w:rPr/>
      </w:pPr>
      <w:r>
        <w:rPr/>
        <w:t>necessary to be controlled to prevent the deterioration of air quality and to</w:t>
      </w:r>
    </w:p>
    <w:p>
      <w:pPr>
        <w:pStyle w:val="Normal"/>
        <w:rPr/>
      </w:pPr>
      <w:r>
        <w:rPr/>
        <w:t xml:space="preserve">achieve attainment of a NAAQS by an area or areas.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Credit for Carbon Monoxide:  In determining the reductions necessary of</w:t>
      </w:r>
    </w:p>
    <w:p>
      <w:pPr>
        <w:pStyle w:val="Normal"/>
        <w:rPr/>
      </w:pPr>
      <w:r>
        <w:rPr/>
        <w:t>ozone-forming VOC's in RFG, the Administrator must consider, to the extent</w:t>
      </w:r>
    </w:p>
    <w:p>
      <w:pPr>
        <w:pStyle w:val="Normal"/>
        <w:rPr/>
      </w:pPr>
      <w:r>
        <w:rPr/>
        <w:t>appropriate, the change in carbon monoxide emissions from baseline vehicles</w:t>
      </w:r>
    </w:p>
    <w:p>
      <w:pPr>
        <w:pStyle w:val="Normal"/>
        <w:rPr/>
      </w:pPr>
      <w:r>
        <w:rPr/>
        <w:t>attributable to RFG that exceeds 2.0 wt. % oxygen, and to provide appropriate</w:t>
      </w:r>
    </w:p>
    <w:p>
      <w:pPr>
        <w:pStyle w:val="Normal"/>
        <w:rPr/>
      </w:pPr>
      <w:r>
        <w:rPr/>
        <w:t>carbon monoxide credits to offset possible emissions increases due to increased</w:t>
      </w:r>
    </w:p>
    <w:p>
      <w:pPr>
        <w:pStyle w:val="Normal"/>
        <w:rPr/>
      </w:pPr>
      <w:r>
        <w:rPr/>
        <w:t xml:space="preserve">volatility.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4.  ADDITIONAL OPT-IN AREAS UNDER RFG PROGRAM </w:t>
      </w:r>
    </w:p>
    <w:p>
      <w:pPr>
        <w:pStyle w:val="Normal"/>
        <w:rPr/>
      </w:pPr>
      <w:r>
        <w:rPr/>
        <w:t>Upon the application of a governor, the EPA Administrator shall allow any former</w:t>
      </w:r>
    </w:p>
    <w:p>
      <w:pPr>
        <w:pStyle w:val="Normal"/>
        <w:rPr/>
      </w:pPr>
      <w:r>
        <w:rPr/>
        <w:t xml:space="preserve">non-attainment, or attainment, area to opt-in to the RFG program.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5.  RENEWABLE CONTENT OF RFG </w:t>
      </w:r>
    </w:p>
    <w:p>
      <w:pPr>
        <w:pStyle w:val="Normal"/>
        <w:rPr/>
      </w:pPr>
      <w:r>
        <w:rPr/>
        <w:t>Renewable Fuels Standard for Gasoline:  The EPA Administrator is directed to</w:t>
      </w:r>
    </w:p>
    <w:p>
      <w:pPr>
        <w:pStyle w:val="Normal"/>
        <w:rPr/>
      </w:pPr>
      <w:r>
        <w:rPr/>
        <w:t>establish renewable content requirements applicable to all refiners (with the</w:t>
      </w:r>
    </w:p>
    <w:p>
      <w:pPr>
        <w:pStyle w:val="Normal"/>
        <w:rPr/>
      </w:pPr>
      <w:r>
        <w:rPr/>
        <w:t>exception of "small refiners"), blenders, and importers of motor fuels. The</w:t>
      </w:r>
    </w:p>
    <w:p>
      <w:pPr>
        <w:pStyle w:val="Normal"/>
        <w:rPr/>
      </w:pPr>
      <w:r>
        <w:rPr/>
        <w:t>total volume of motor fuels sold in the nation’s gasoline must contain at least</w:t>
      </w:r>
    </w:p>
    <w:p>
      <w:pPr>
        <w:pStyle w:val="Normal"/>
        <w:rPr/>
      </w:pPr>
      <w:r>
        <w:rPr/>
        <w:t>1.3% renewable content beginning in 2000.  That amount shall rise 0.2% each year</w:t>
      </w:r>
    </w:p>
    <w:p>
      <w:pPr>
        <w:pStyle w:val="Normal"/>
        <w:rPr/>
      </w:pPr>
      <w:r>
        <w:rPr/>
        <w:t xml:space="preserve">until it reaches 3.3% of total gasoline sold in 2010, and then remain constant. </w:t>
      </w:r>
    </w:p>
    <w:p>
      <w:pPr>
        <w:pStyle w:val="Normal"/>
        <w:rPr/>
      </w:pPr>
      <w:r>
        <w:rPr/>
        <w:t>In meeting the requirement, a gallon of biomass ethanol shall count as 1.5</w:t>
      </w:r>
    </w:p>
    <w:p>
      <w:pPr>
        <w:pStyle w:val="Normal"/>
        <w:rPr/>
      </w:pPr>
      <w:r>
        <w:rPr/>
        <w:t>gallons.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Renewable Fuels Standard for Other Motor Fuels:  The EPA Administrator is</w:t>
      </w:r>
    </w:p>
    <w:p>
      <w:pPr>
        <w:pStyle w:val="Normal"/>
        <w:rPr/>
      </w:pPr>
      <w:r>
        <w:rPr/>
        <w:t>directed to establish a renewable fuels standard for non-gasoline motor fuels to</w:t>
      </w:r>
    </w:p>
    <w:p>
      <w:pPr>
        <w:pStyle w:val="Normal"/>
        <w:rPr/>
      </w:pPr>
      <w:r>
        <w:rPr/>
        <w:t>promote the use of renewable alternative fuels such as biodiesel.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Renewable Fuels Credit Trading:  A credit-trading program would be established</w:t>
      </w:r>
    </w:p>
    <w:p>
      <w:pPr>
        <w:pStyle w:val="Normal"/>
        <w:rPr/>
      </w:pPr>
      <w:r>
        <w:rPr/>
        <w:t>to allow for buying and selling of credits among refiners, blenders, and</w:t>
      </w:r>
    </w:p>
    <w:p>
      <w:pPr>
        <w:pStyle w:val="Normal"/>
        <w:rPr/>
      </w:pPr>
      <w:r>
        <w:rPr/>
        <w:t xml:space="preserve">importers throughout the country.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Waiver:  In consultation with the Secretary of Agriculture, the EPA</w:t>
      </w:r>
    </w:p>
    <w:p>
      <w:pPr>
        <w:pStyle w:val="Normal"/>
        <w:rPr/>
      </w:pPr>
      <w:r>
        <w:rPr/>
        <w:t>Administrator may waive the renewable requirement in any given year upon</w:t>
      </w:r>
    </w:p>
    <w:p>
      <w:pPr>
        <w:pStyle w:val="Normal"/>
        <w:rPr/>
      </w:pPr>
      <w:r>
        <w:rPr/>
        <w:t>determination that there is inadequate domestic supply or distribution capacity,</w:t>
      </w:r>
    </w:p>
    <w:p>
      <w:pPr>
        <w:pStyle w:val="Normal"/>
        <w:rPr/>
      </w:pPr>
      <w:r>
        <w:rPr/>
        <w:t>or that the requirement would severely harm the economy or environment of a</w:t>
      </w:r>
    </w:p>
    <w:p>
      <w:pPr>
        <w:pStyle w:val="Normal"/>
        <w:rPr/>
      </w:pPr>
      <w:r>
        <w:rPr/>
        <w:t>State, a region, or the United States.  Waivers would terminate after one year,</w:t>
      </w:r>
    </w:p>
    <w:p>
      <w:pPr>
        <w:pStyle w:val="Normal"/>
        <w:rPr/>
      </w:pPr>
      <w:r>
        <w:rPr/>
        <w:t>but may be renewed by the Administrator.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Prevention of Federal Highway Trust Fund Impacts:  Prevention of adverse effects</w:t>
      </w:r>
    </w:p>
    <w:p>
      <w:pPr>
        <w:pStyle w:val="Normal"/>
        <w:rPr/>
      </w:pPr>
      <w:r>
        <w:rPr/>
        <w:t>on states' highway trust fund tax allocations is provided for, with "hold</w:t>
      </w:r>
    </w:p>
    <w:p>
      <w:pPr>
        <w:pStyle w:val="Normal"/>
        <w:rPr/>
      </w:pPr>
      <w:r>
        <w:rPr/>
        <w:t>harmless" language ensuring that states reporting Federal Excise Tax receipts on</w:t>
      </w:r>
    </w:p>
    <w:p>
      <w:pPr>
        <w:pStyle w:val="Normal"/>
        <w:rPr/>
      </w:pPr>
      <w:r>
        <w:rPr/>
        <w:t>gasoline are not penalized for their ethanol blend sales.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6.  LEAKING UNDERGROUND STORAGE TANKS  </w:t>
      </w:r>
    </w:p>
    <w:p>
      <w:pPr>
        <w:pStyle w:val="Normal"/>
        <w:rPr/>
      </w:pPr>
      <w:r>
        <w:rPr/>
        <w:t>The EPA is required to distribute to states at least 85 percent of the funds</w:t>
      </w:r>
    </w:p>
    <w:p>
      <w:pPr>
        <w:pStyle w:val="Normal"/>
        <w:rPr/>
      </w:pPr>
      <w:r>
        <w:rPr/>
        <w:t>appropriated to the EPA from the Leaking Underground Storage Tank (LUST) Trust</w:t>
      </w:r>
    </w:p>
    <w:p>
      <w:pPr>
        <w:pStyle w:val="Normal"/>
        <w:rPr/>
      </w:pPr>
      <w:r>
        <w:rPr/>
        <w:t>Fund in each fiscal year.  Permitted and non-permitted uses are set out, as are</w:t>
      </w:r>
    </w:p>
    <w:p>
      <w:pPr>
        <w:pStyle w:val="Normal"/>
        <w:rPr/>
      </w:pPr>
      <w:r>
        <w:rPr/>
        <w:t>allocation procedures.  The Administrator is required to determine the corrosive</w:t>
      </w:r>
    </w:p>
    <w:p>
      <w:pPr>
        <w:pStyle w:val="Normal"/>
        <w:rPr/>
      </w:pPr>
      <w:r>
        <w:rPr/>
        <w:t>effects of MTBE and other fuel additives on underground storage tanks, and</w:t>
      </w:r>
    </w:p>
    <w:p>
      <w:pPr>
        <w:pStyle w:val="Normal"/>
        <w:rPr/>
      </w:pPr>
      <w:r>
        <w:rPr/>
        <w:t>assess the public health and environmental risks associated with the use of</w:t>
      </w:r>
    </w:p>
    <w:p>
      <w:pPr>
        <w:pStyle w:val="Normal"/>
        <w:rPr/>
      </w:pPr>
      <w:r>
        <w:rPr/>
        <w:t xml:space="preserve">aboveground storage tanks.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7.  PRIVATE WELL PROTECTION PILOT PROGRAM  </w:t>
      </w:r>
    </w:p>
    <w:p>
      <w:pPr>
        <w:pStyle w:val="Normal"/>
        <w:rPr/>
      </w:pPr>
      <w:r>
        <w:rPr/>
        <w:t>The EPA Administrator is authorized to enter into cooperative agreements with</w:t>
      </w:r>
    </w:p>
    <w:p>
      <w:pPr>
        <w:pStyle w:val="Normal"/>
        <w:rPr/>
      </w:pPr>
      <w:r>
        <w:rPr/>
        <w:t>the USGS, USDA, states, etc., to establish voluntary pilot projects to protect</w:t>
      </w:r>
    </w:p>
    <w:p>
      <w:pPr>
        <w:pStyle w:val="Normal"/>
        <w:rPr/>
      </w:pPr>
      <w:r>
        <w:rPr/>
        <w:t>water quality of private wells, and to provide technical assistance to users of</w:t>
      </w:r>
    </w:p>
    <w:p>
      <w:pPr>
        <w:pStyle w:val="Normal"/>
        <w:rPr/>
      </w:pPr>
      <w:r>
        <w:rPr/>
        <w:t xml:space="preserve">private wells.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2000-05-04T12:25:00Z</dcterms:created>
  <dc:creator>David E. Hallberg</dc:creator>
  <dc:description/>
  <dc:language>en-CA</dc:language>
  <cp:lastModifiedBy>Jeffrey Keeler</cp:lastModifiedBy>
  <dcterms:modified xsi:type="dcterms:W3CDTF">2000-05-04T12:25:00Z</dcterms:modified>
  <cp:revision>2</cp:revision>
  <dc:subject/>
  <dc:title>RENEWABLE FUELS ACT OF 2000</dc:title>
</cp:coreProperties>
</file>