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To: </w:t>
        <w:tab/>
        <w:t>Nordic Association of Electricity Traders</w:t>
      </w:r>
    </w:p>
    <w:p>
      <w:pPr>
        <w:pStyle w:val="Normal"/>
        <w:rPr/>
      </w:pPr>
      <w:r>
        <w:rPr/>
        <w:tab/>
        <w:t>(Nordisk Krafthandlerforening)</w:t>
      </w:r>
    </w:p>
    <w:p>
      <w:pPr>
        <w:pStyle w:val="Normal"/>
        <w:jc w:val="end"/>
        <w:rPr/>
      </w:pPr>
      <w:r>
        <w:rPr/>
        <w:t>CONFORMED COPY</w:t>
      </w:r>
    </w:p>
    <w:p>
      <w:pPr>
        <w:pStyle w:val="Normal"/>
        <w:rPr/>
      </w:pPr>
      <w:r>
        <w:rPr/>
        <w:t>Dear Sirs,</w:t>
      </w:r>
    </w:p>
    <w:p>
      <w:pPr>
        <w:pStyle w:val="Normal"/>
        <w:rPr/>
      </w:pPr>
      <w:r>
        <w:rPr/>
      </w:r>
    </w:p>
    <w:p>
      <w:pPr>
        <w:pStyle w:val="Normal"/>
        <w:rPr/>
      </w:pPr>
      <w:r>
        <w:rPr/>
        <w:t>Financial Energy Master Agreement Legal Opinion</w:t>
      </w:r>
    </w:p>
    <w:p>
      <w:pPr>
        <w:pStyle w:val="Normal"/>
        <w:rPr/>
      </w:pPr>
      <w:r>
        <w:rPr/>
      </w:r>
    </w:p>
    <w:p>
      <w:pPr>
        <w:pStyle w:val="Normal"/>
        <w:rPr/>
      </w:pPr>
      <w:r>
        <w:rPr/>
        <w:t>We have been instructed to give an opinion as to the validity and enforceability under the laws of Denmark of the April 2000 version of the Financial Energy Master Agreement, including the related forms of confirmation (collectively, the Agreement), in the form attached to this opinion.</w:t>
      </w:r>
    </w:p>
    <w:p>
      <w:pPr>
        <w:pStyle w:val="Normal"/>
        <w:rPr/>
      </w:pPr>
      <w:r>
        <w:rPr/>
      </w:r>
    </w:p>
    <w:p>
      <w:pPr>
        <w:pStyle w:val="Normal"/>
        <w:rPr/>
      </w:pPr>
      <w:r>
        <w:rPr/>
        <w:t>Terms defined in the Agreement have the same meanings in this opinion.</w:t>
      </w:r>
    </w:p>
    <w:p>
      <w:pPr>
        <w:pStyle w:val="Normal"/>
        <w:rPr/>
      </w:pPr>
      <w:r>
        <w:rPr/>
      </w:r>
    </w:p>
    <w:p>
      <w:pPr>
        <w:pStyle w:val="Normal"/>
        <w:rPr/>
      </w:pPr>
      <w:r>
        <w:rPr/>
        <w:t>This opinion is given in respect of parties which are (a) companies incorporated or organised under the laws of Denmark and (b) branches established or located in Denmark of companies incorporated or organised outside Denmark. A company incorporated or organised in Denmark is typically incorporated or organised under the Danish Private Limited Companies Act (Anpartsselskabsloven) or the Danish Public Limited Companies Act (Aktieselskabsloven). However, insurance companies such as mutual insurance companies and pension funds may be incorporated under the Danish Act on Insurance Business and Savings Banks (Lov om forsikringsvirksomhed) and co-operation savings banks may be incorporated under the Danish Bank Act (Lov om banker og sparekasser). This opinion also includes companies incorporated accordingly.</w:t>
      </w:r>
    </w:p>
    <w:p>
      <w:pPr>
        <w:pStyle w:val="Normal"/>
        <w:rPr/>
      </w:pPr>
      <w:r>
        <w:rPr/>
      </w:r>
    </w:p>
    <w:p>
      <w:pPr>
        <w:pStyle w:val="Normal"/>
        <w:rPr/>
      </w:pPr>
      <w:r>
        <w:rPr/>
        <w:t>This opinion is confined to matters of Danish law in force at the date of rendering this opinion and we express no opinion with regard to any system of law other than Danish law.</w:t>
      </w:r>
    </w:p>
    <w:p>
      <w:pPr>
        <w:pStyle w:val="Normal"/>
        <w:rPr/>
      </w:pPr>
      <w:r>
        <w:rPr/>
      </w:r>
    </w:p>
    <w:p>
      <w:pPr>
        <w:pStyle w:val="Normal"/>
        <w:rPr/>
      </w:pPr>
      <w:r>
        <w:rPr/>
        <w:t>We have assumed that:</w:t>
      </w:r>
    </w:p>
    <w:p>
      <w:pPr>
        <w:pStyle w:val="Normal"/>
        <w:rPr/>
      </w:pPr>
      <w:r>
        <w:rPr/>
      </w:r>
    </w:p>
    <w:p>
      <w:pPr>
        <w:pStyle w:val="Opstilmat-that-dass"/>
        <w:numPr>
          <w:ilvl w:val="0"/>
          <w:numId w:val="5"/>
        </w:numPr>
        <w:ind w:hanging="0" w:start="0"/>
        <w:rPr/>
      </w:pPr>
      <w:r>
        <w:rPr/>
        <w:t>each party has all requisite capacity and corporate power to execute, deliver and perform its obligations under the Agreement and each party has taken all necessary steps to execute, deliver and perform the Agreement and Transactions carried out under the Agreement;</w:t>
      </w:r>
    </w:p>
    <w:p>
      <w:pPr>
        <w:pStyle w:val="Opstilmat-that-dass"/>
        <w:numPr>
          <w:ilvl w:val="0"/>
          <w:numId w:val="5"/>
        </w:numPr>
        <w:ind w:hanging="0" w:start="0"/>
        <w:rPr/>
      </w:pPr>
      <w:r>
        <w:rPr/>
        <w:t>the Agreement and all Transactions have been duly authorised, executed and delivered by each party in accordance with all applicable laws;</w:t>
      </w:r>
    </w:p>
    <w:p>
      <w:pPr>
        <w:pStyle w:val="Opstilmat-that-dass"/>
        <w:numPr>
          <w:ilvl w:val="0"/>
          <w:numId w:val="5"/>
        </w:numPr>
        <w:ind w:hanging="0" w:start="0"/>
        <w:rPr/>
      </w:pPr>
      <w:r>
        <w:rPr/>
        <w:t>the parties over time enter into one or more Swaps, Swaptions and/or Asian Options in which the Fixed Price, in the case of a Swap, and the Strike Price, in the case of an Asian Option, is the price per unit of a commodity, such as electric power, and the Floating Price is the price of the commodity per the same unit on a commodity exchange or an established market place (such as Nord Pool ASA, the Amsterdam Power Exchange, the UK Electricity Pool ) per Calculation Period;</w:t>
      </w:r>
    </w:p>
    <w:p>
      <w:pPr>
        <w:pStyle w:val="Opstilmat-that-dass"/>
        <w:numPr>
          <w:ilvl w:val="0"/>
          <w:numId w:val="5"/>
        </w:numPr>
        <w:ind w:hanging="0" w:start="0"/>
        <w:rPr/>
      </w:pPr>
      <w:r>
        <w:rPr/>
        <w:t>the parties, for the purpose of Section (8)(a) (Governing Law), have chosen either Danish law, English law, Finnish law, German law, Netherlands law, Norwegian law or Swedish law (each hereinafter the "Governing Law") to govern the Agreement and all Transactions;</w:t>
      </w:r>
    </w:p>
    <w:p>
      <w:pPr>
        <w:pStyle w:val="Opstilmat-that-dass"/>
        <w:numPr>
          <w:ilvl w:val="0"/>
          <w:numId w:val="5"/>
        </w:numPr>
        <w:ind w:hanging="0" w:start="0"/>
        <w:rPr/>
      </w:pPr>
      <w:r>
        <w:rPr/>
        <w:t>the Agreement and each Transaction are valid and binding under the Governing Law (if other than Danish law);</w:t>
      </w:r>
    </w:p>
    <w:p>
      <w:pPr>
        <w:pStyle w:val="Opstilmat-that-dass"/>
        <w:numPr>
          <w:ilvl w:val="0"/>
          <w:numId w:val="5"/>
        </w:numPr>
        <w:ind w:hanging="0" w:start="0"/>
        <w:rPr/>
      </w:pPr>
      <w:r>
        <w:rPr/>
        <w:t>provisions of the Agreement that we deem crucial to our opinion have not been altered in any material respect;</w:t>
      </w:r>
    </w:p>
    <w:p>
      <w:pPr>
        <w:pStyle w:val="Opstilmat-that-dass"/>
        <w:numPr>
          <w:ilvl w:val="0"/>
          <w:numId w:val="5"/>
        </w:numPr>
        <w:ind w:hanging="0" w:start="0"/>
        <w:rPr/>
      </w:pPr>
      <w:r>
        <w:rPr/>
        <w:t>the Agreement has been entered into for bona fide commercial reasons and on arms' length terms by each of the parties;</w:t>
      </w:r>
    </w:p>
    <w:p>
      <w:pPr>
        <w:pStyle w:val="Opstilmat-that-dass"/>
        <w:numPr>
          <w:ilvl w:val="0"/>
          <w:numId w:val="5"/>
        </w:numPr>
        <w:ind w:hanging="0" w:start="0"/>
        <w:rPr/>
      </w:pPr>
      <w:r>
        <w:rPr/>
        <w:t>the Agreement and all Transactions carried out under the Agreement are entered into prior to the formal commencement of insolvency proceedings against either party;</w:t>
      </w:r>
    </w:p>
    <w:p>
      <w:pPr>
        <w:pStyle w:val="Opstilmat-that-dass"/>
        <w:numPr>
          <w:ilvl w:val="0"/>
          <w:numId w:val="5"/>
        </w:numPr>
        <w:ind w:hanging="0" w:start="0"/>
        <w:rPr/>
      </w:pPr>
      <w:r>
        <w:rPr/>
        <w:t>the time at which a Transaction is entered into under the Agreement, neither party has or ought to have had actual notice of the insolvency of the other party;</w:t>
      </w:r>
    </w:p>
    <w:p>
      <w:pPr>
        <w:pStyle w:val="Opstilmat-that-dass"/>
        <w:numPr>
          <w:ilvl w:val="0"/>
          <w:numId w:val="5"/>
        </w:numPr>
        <w:ind w:hanging="0" w:start="0"/>
        <w:rPr/>
      </w:pPr>
      <w:r>
        <w:rPr/>
        <w:t>the Interest Rate(s) specified in the Schedule by the parties will not exceed the maximum lawful rate permitted by applicable law; and</w:t>
      </w:r>
    </w:p>
    <w:p>
      <w:pPr>
        <w:pStyle w:val="Opstilmat-that-dass"/>
        <w:numPr>
          <w:ilvl w:val="0"/>
          <w:numId w:val="5"/>
        </w:numPr>
        <w:ind w:hanging="0" w:start="0"/>
        <w:rPr/>
      </w:pPr>
      <w:r>
        <w:rPr/>
        <w:t>there exists no other agreement or instrument between the parties governing Transactions, which is in conflict with the Agreement.</w:t>
      </w:r>
    </w:p>
    <w:p>
      <w:pPr>
        <w:pStyle w:val="Normal"/>
        <w:rPr/>
      </w:pPr>
      <w:r>
        <w:rPr/>
        <w:t>Subject to the above, we are of the opinion that under the laws of Denmark:</w:t>
      </w:r>
    </w:p>
    <w:p>
      <w:pPr>
        <w:pStyle w:val="Normal"/>
        <w:rPr/>
      </w:pPr>
      <w:r>
        <w:rPr/>
      </w:r>
    </w:p>
    <w:p>
      <w:pPr>
        <w:pStyle w:val="Heading1"/>
        <w:ind w:hanging="0" w:start="0"/>
        <w:rPr/>
      </w:pPr>
      <w:r>
        <w:rPr/>
        <w:t>Insolvency proceedings</w:t>
      </w:r>
    </w:p>
    <w:p>
      <w:pPr>
        <w:pStyle w:val="Heading2"/>
        <w:ind w:hanging="0" w:start="0"/>
        <w:rPr/>
      </w:pPr>
      <w:r>
        <w:rPr/>
        <w:t>The only bankruptcy, composition, rehabilitation (e.g. administration, receivership or voluntary arrangement) or other insolvency proceedings instituted by law to which a party incorporated in or with a branch in Denmark would be subject in Denmark are the following:</w:t>
      </w:r>
    </w:p>
    <w:p>
      <w:pPr>
        <w:pStyle w:val="Normalindryk"/>
        <w:rPr/>
      </w:pPr>
      <w:r>
        <w:rPr/>
      </w:r>
    </w:p>
    <w:p>
      <w:pPr>
        <w:pStyle w:val="Normalindryk"/>
        <w:rPr/>
      </w:pPr>
      <w:r>
        <w:rPr/>
        <w:t>Suspension of payments (betalingsstandsning)</w:t>
      </w:r>
    </w:p>
    <w:p>
      <w:pPr>
        <w:pStyle w:val="Normalindryk"/>
        <w:rPr/>
      </w:pPr>
      <w:r>
        <w:rPr/>
        <w:t>Compulsory relief of creditors (tvangsakkord)</w:t>
      </w:r>
    </w:p>
    <w:p>
      <w:pPr>
        <w:pStyle w:val="Normalindryk"/>
        <w:rPr/>
      </w:pPr>
      <w:r>
        <w:rPr/>
        <w:t>Bankruptcy (konkurs)</w:t>
      </w:r>
    </w:p>
    <w:p>
      <w:pPr>
        <w:pStyle w:val="Normalindryk"/>
        <w:rPr/>
      </w:pPr>
      <w:r>
        <w:rPr/>
      </w:r>
    </w:p>
    <w:p>
      <w:pPr>
        <w:pStyle w:val="Normalindryk"/>
        <w:rPr/>
      </w:pPr>
      <w:r>
        <w:rPr/>
        <w:t>(hereinafter collectively the "Insolvency Proceedings").</w:t>
      </w:r>
    </w:p>
    <w:p>
      <w:pPr>
        <w:pStyle w:val="Normalindryk"/>
        <w:rPr/>
      </w:pPr>
      <w:r>
        <w:rPr/>
      </w:r>
    </w:p>
    <w:p>
      <w:pPr>
        <w:pStyle w:val="Heading2"/>
        <w:ind w:hanging="0" w:start="0"/>
        <w:rPr/>
      </w:pPr>
      <w:r>
        <w:rPr/>
        <w:t>We confirm that all of the Insolvency Proceedings would be adequately covered by the definition of Insolvency Event in the Agreement.</w:t>
      </w:r>
    </w:p>
    <w:p>
      <w:pPr>
        <w:pStyle w:val="Normalindryk"/>
        <w:rPr/>
      </w:pPr>
      <w:r>
        <w:rPr/>
      </w:r>
    </w:p>
    <w:p>
      <w:pPr>
        <w:pStyle w:val="Heading1"/>
        <w:ind w:hanging="0" w:start="0"/>
        <w:rPr/>
      </w:pPr>
      <w:r>
        <w:rPr/>
        <w:t>Validity of the Agreement</w:t>
      </w:r>
    </w:p>
    <w:p>
      <w:pPr>
        <w:pStyle w:val="Heading2"/>
        <w:ind w:hanging="0" w:start="0"/>
        <w:rPr/>
      </w:pPr>
      <w:r>
        <w:rPr/>
        <w:t>The Agreement  will be effective under the laws of Denmark and will take effect in accordance with its terms where one or both of the parties is a company incorporated in Denmark or is incorporated outside Denmark but has a branch located in Denmark.</w:t>
      </w:r>
    </w:p>
    <w:p>
      <w:pPr>
        <w:pStyle w:val="Normalindryk"/>
        <w:rPr/>
      </w:pPr>
      <w:r>
        <w:rPr/>
      </w:r>
    </w:p>
    <w:p>
      <w:pPr>
        <w:pStyle w:val="Normalindryk"/>
        <w:rPr/>
      </w:pPr>
      <w:r>
        <w:rPr/>
        <w:t>The above conclusion is based on the assumption that the Agreement and the individual Transactions are entered into under circumstances that cannot lead to the invalidity of the Agreement or the Transaction by virtue of the ordinary rules of Danish Contract Law. Under Danish law an agreement may be deemed invalid due to the circumstances under which it has been concluded in cases of fraud, duress or the like.</w:t>
      </w:r>
    </w:p>
    <w:p>
      <w:pPr>
        <w:pStyle w:val="Normalindryk"/>
        <w:rPr/>
      </w:pPr>
      <w:r>
        <w:rPr/>
      </w:r>
    </w:p>
    <w:p>
      <w:pPr>
        <w:pStyle w:val="Normalindryk"/>
        <w:rPr/>
      </w:pPr>
      <w:r>
        <w:rPr/>
        <w:t>Furthermore, according to Article 36 of the Danish Act on Contracts ("Aftaleloven") a contract or a contract term may be modified or overruled by the courts of Law if the contract or any of the terms are adjudged to be unreasonable. We find it most unlikely that the Agreement as such or any Transactions may be modified or overruled in accordance with Article 36. Article 36 has a very limited scope of application in relation to commercial agreements between professionals. The Supreme Court has refused application of Article 36 with reference to the fact that both parties to the agreement in dispute were professionals and legal theory is consistently maintaining that in such matters Article 36 may only be applied in exceptional circumstances.</w:t>
      </w:r>
    </w:p>
    <w:p>
      <w:pPr>
        <w:pStyle w:val="Normalindryk"/>
        <w:rPr/>
      </w:pPr>
      <w:r>
        <w:rPr/>
      </w:r>
    </w:p>
    <w:p>
      <w:pPr>
        <w:pStyle w:val="Heading2"/>
        <w:ind w:hanging="0" w:start="0"/>
        <w:rPr/>
      </w:pPr>
      <w:r>
        <w:rPr/>
        <w:t>A court in Denmark would uphold the parties' choice of Governing Law and, if relevant, the irrevocable submission by the parties pursuant to Section 8 (b) (Jurisdiction) to:</w:t>
      </w:r>
    </w:p>
    <w:p>
      <w:pPr>
        <w:pStyle w:val="Normalindryk"/>
        <w:rPr/>
      </w:pPr>
      <w:r>
        <w:rPr/>
      </w:r>
    </w:p>
    <w:p>
      <w:pPr>
        <w:pStyle w:val="Normalindryk"/>
        <w:ind w:hanging="567" w:start="1701" w:end="0"/>
        <w:rPr/>
      </w:pPr>
      <w:r>
        <w:rPr/>
        <w:t>(i)</w:t>
        <w:tab/>
        <w:t>the courts of Denmark, provided that the Agreement  and all Transactions are governed by Danish law;</w:t>
      </w:r>
    </w:p>
    <w:p>
      <w:pPr>
        <w:pStyle w:val="Normalindryk"/>
        <w:ind w:hanging="567" w:start="1701" w:end="0"/>
        <w:rPr/>
      </w:pPr>
      <w:r>
        <w:rPr/>
      </w:r>
    </w:p>
    <w:p>
      <w:pPr>
        <w:pStyle w:val="Normalindryk"/>
        <w:ind w:hanging="567" w:start="1701" w:end="0"/>
        <w:rPr/>
      </w:pPr>
      <w:r>
        <w:rPr/>
        <w:t>(ii)</w:t>
        <w:tab/>
        <w:t>the courts of England, provided that the Agreement  and all Transactions are governed by English law;</w:t>
      </w:r>
    </w:p>
    <w:p>
      <w:pPr>
        <w:pStyle w:val="Normalindryk"/>
        <w:ind w:hanging="567" w:start="1701" w:end="0"/>
        <w:rPr/>
      </w:pPr>
      <w:r>
        <w:rPr/>
      </w:r>
    </w:p>
    <w:p>
      <w:pPr>
        <w:pStyle w:val="Normalindryk"/>
        <w:ind w:hanging="567" w:start="1701" w:end="0"/>
        <w:rPr/>
      </w:pPr>
      <w:r>
        <w:rPr/>
        <w:t>(iii)</w:t>
        <w:tab/>
        <w:t>the courts of Finland, provided that the Agreement  and all Transactions are governed by Finnish law;</w:t>
      </w:r>
    </w:p>
    <w:p>
      <w:pPr>
        <w:pStyle w:val="Normalindryk"/>
        <w:ind w:hanging="567" w:start="1701" w:end="0"/>
        <w:rPr/>
      </w:pPr>
      <w:r>
        <w:rPr/>
      </w:r>
    </w:p>
    <w:p>
      <w:pPr>
        <w:pStyle w:val="Normalindryk"/>
        <w:ind w:hanging="567" w:start="1701" w:end="0"/>
        <w:rPr/>
      </w:pPr>
      <w:r>
        <w:rPr/>
        <w:t>(iv)</w:t>
        <w:tab/>
        <w:t>the courts of Germany, provided that the Agreement  and all Transactions are governed by German law;</w:t>
      </w:r>
    </w:p>
    <w:p>
      <w:pPr>
        <w:pStyle w:val="Normalindryk"/>
        <w:ind w:hanging="567" w:start="1701" w:end="0"/>
        <w:rPr/>
      </w:pPr>
      <w:r>
        <w:rPr/>
      </w:r>
    </w:p>
    <w:p>
      <w:pPr>
        <w:pStyle w:val="Normalindryk"/>
        <w:ind w:hanging="567" w:start="1701" w:end="0"/>
        <w:rPr/>
      </w:pPr>
      <w:r>
        <w:rPr/>
        <w:t>(v)</w:t>
        <w:tab/>
        <w:t>the courts of The Netherlands, provided that the Agreement  and all Transactions are governed by Netherlands law;</w:t>
      </w:r>
    </w:p>
    <w:p>
      <w:pPr>
        <w:pStyle w:val="Normalindryk"/>
        <w:ind w:hanging="567" w:start="1701" w:end="0"/>
        <w:rPr/>
      </w:pPr>
      <w:r>
        <w:rPr/>
      </w:r>
    </w:p>
    <w:p>
      <w:pPr>
        <w:pStyle w:val="Normalindryk"/>
        <w:ind w:hanging="567" w:start="1701" w:end="0"/>
        <w:rPr/>
      </w:pPr>
      <w:r>
        <w:rPr/>
        <w:t>(vi)</w:t>
        <w:tab/>
        <w:t>the courts of Norway, provided that the Agreement  and all Transactions are governed by Norwegian law;</w:t>
      </w:r>
    </w:p>
    <w:p>
      <w:pPr>
        <w:pStyle w:val="Normalindryk"/>
        <w:ind w:hanging="567" w:start="1701" w:end="0"/>
        <w:rPr/>
      </w:pPr>
      <w:r>
        <w:rPr/>
      </w:r>
    </w:p>
    <w:p>
      <w:pPr>
        <w:pStyle w:val="Normalindryk"/>
        <w:ind w:hanging="567" w:start="1701" w:end="0"/>
        <w:rPr/>
      </w:pPr>
      <w:r>
        <w:rPr/>
        <w:t>(vii)</w:t>
        <w:tab/>
        <w:t>the courts of Sweden, provided that the Agreement  and all Transactions are governed by Swedish law;</w:t>
      </w:r>
    </w:p>
    <w:p>
      <w:pPr>
        <w:pStyle w:val="Normalindryk"/>
        <w:ind w:hanging="567" w:start="1701" w:end="0"/>
        <w:rPr/>
      </w:pPr>
      <w:r>
        <w:rPr/>
      </w:r>
    </w:p>
    <w:p>
      <w:pPr>
        <w:pStyle w:val="Normalindryk"/>
        <w:rPr/>
      </w:pPr>
      <w:r>
        <w:rPr/>
        <w:t xml:space="preserve">However, the Danish courts may set aside an agreement between two Danish parties to submit to a jurisdiction outside Denmark, if the agreement and the dispute resulting from the agreement does not have a relevant connection to a foreign jurisdiction which may justify the submission to the foreign jurisdiction. A choice of foreign law does not in itself qualify as a relevant connection. The substance of the agreement and the dispute shall have an international connection. </w:t>
      </w:r>
    </w:p>
    <w:p>
      <w:pPr>
        <w:pStyle w:val="Normalindryk"/>
        <w:rPr/>
      </w:pPr>
      <w:r>
        <w:rPr/>
      </w:r>
    </w:p>
    <w:p>
      <w:pPr>
        <w:pStyle w:val="Normalindryk"/>
        <w:rPr/>
      </w:pPr>
      <w:r>
        <w:rPr/>
        <w:t>Further, in cases of a Danish party to the Agreement becoming subject to Insolvency Proceeding the choice of law and jurisdiction is not binding upon the estate in relation to issues concerning avoidability ("omstødelse"), or to other issues affecting generally the enforcement of creditors' rights. In these cases the choice of law and of jurisdiction will not be upheld by the Danish courts in relation to matters involving Danish rules affecting generally the enforcement of creditors' rights.</w:t>
      </w:r>
    </w:p>
    <w:p>
      <w:pPr>
        <w:pStyle w:val="Normalindryk"/>
        <w:ind w:hanging="567" w:start="1701" w:end="0"/>
        <w:rPr/>
      </w:pPr>
      <w:r>
        <w:rPr/>
      </w:r>
    </w:p>
    <w:p>
      <w:pPr>
        <w:pStyle w:val="Heading2"/>
        <w:ind w:hanging="0" w:start="0"/>
        <w:rPr/>
      </w:pPr>
      <w:r>
        <w:rPr/>
        <w:t>Other than what appears from Section 3.2 below any selections contemplated in and made pursuant to the Agreement would not be material alterations pursuant to Assumption (f).</w:t>
      </w:r>
    </w:p>
    <w:p>
      <w:pPr>
        <w:pStyle w:val="Normalindryk"/>
        <w:rPr/>
      </w:pPr>
      <w:r>
        <w:rPr/>
      </w:r>
    </w:p>
    <w:p>
      <w:pPr>
        <w:pStyle w:val="Heading1"/>
        <w:ind w:hanging="0" w:start="0"/>
        <w:rPr/>
      </w:pPr>
      <w:r>
        <w:rPr/>
        <w:t>Netting Provisions</w:t>
      </w:r>
    </w:p>
    <w:p>
      <w:pPr>
        <w:pStyle w:val="Heading2"/>
        <w:ind w:hanging="0" w:start="0"/>
        <w:rPr/>
      </w:pPr>
      <w:r>
        <w:rPr/>
        <w:t>The central provisions of the Agreement  which provide for closeout netting following an Event of Default are contained in Section 6 (Remedies).</w:t>
      </w:r>
    </w:p>
    <w:p>
      <w:pPr>
        <w:pStyle w:val="Normalindryk"/>
        <w:rPr/>
      </w:pPr>
      <w:r>
        <w:rPr/>
      </w:r>
    </w:p>
    <w:p>
      <w:pPr>
        <w:pStyle w:val="Heading2"/>
        <w:ind w:hanging="0" w:start="0"/>
        <w:rPr/>
      </w:pPr>
      <w:r>
        <w:rPr/>
        <w:t xml:space="preserve">If an Event of Default has occurred, either because of an Insolvency Event in respect of a party incorporated in or with a branch in Denmark or following any other default by that party under the Agreement, the closeout netting provisions of Section 6 (Remedies) would be effective and enforceable. </w:t>
      </w:r>
    </w:p>
    <w:p>
      <w:pPr>
        <w:pStyle w:val="Normalindryk"/>
        <w:rPr/>
      </w:pPr>
      <w:r>
        <w:rPr/>
      </w:r>
    </w:p>
    <w:p>
      <w:pPr>
        <w:pStyle w:val="Normalindryk"/>
        <w:rPr/>
      </w:pPr>
      <w:r>
        <w:rPr/>
        <w:t>However, if the Event of Default is due to any Insolvency Proceeding, the close-out netting provisions of Section 6 (Remedies) would most likely not be effective and enforceable if Automatic Early Termination does not apply. The wording of Article 58 of the Danish Securities Trading Act which governs bilateral close-out netting provisions may be understood to the effect that optional termination may render the close-out netting provisions unenforceable in the event of insolvency. An interpretation to this effect is supported by the legislative history of Article 58. No case law has so far brought a clarification of the issue.</w:t>
      </w:r>
    </w:p>
    <w:p>
      <w:pPr>
        <w:pStyle w:val="Normalindryk"/>
        <w:rPr/>
      </w:pPr>
      <w:r>
        <w:rPr/>
      </w:r>
    </w:p>
    <w:p>
      <w:pPr>
        <w:pStyle w:val="Normalindryk"/>
        <w:rPr/>
      </w:pPr>
      <w:r>
        <w:rPr/>
        <w:t>We are not of the opinion that the provisions of Section 6 would be more likely to be upheld if the Non-defaulting Party had to pay any net amount owed by it to the Defaulting Party pursuant to that Article irrespective of the Early Termination Date not being designated or not occurring by reason of an Insolvency Event.</w:t>
      </w:r>
    </w:p>
    <w:p>
      <w:pPr>
        <w:pStyle w:val="Normalindryk"/>
        <w:rPr/>
      </w:pPr>
      <w:r>
        <w:rPr/>
      </w:r>
    </w:p>
    <w:p>
      <w:pPr>
        <w:pStyle w:val="Normalindryk"/>
        <w:rPr/>
      </w:pPr>
      <w:r>
        <w:rPr/>
        <w:t>However, in the event of a Danish party's bankruptcy the conversion rate will be fixed at the conversion rate between DKK and the Termination Currency as at the date of the issuance of the bankruptcy  decree.</w:t>
      </w:r>
    </w:p>
    <w:p>
      <w:pPr>
        <w:pStyle w:val="Normalindryk"/>
        <w:rPr/>
      </w:pPr>
      <w:r>
        <w:rPr/>
      </w:r>
    </w:p>
    <w:p>
      <w:pPr>
        <w:pStyle w:val="Heading2"/>
        <w:ind w:hanging="0" w:start="0"/>
        <w:rPr/>
      </w:pPr>
      <w:r>
        <w:rPr/>
        <w:t>The provisions of Section 6 (Remedies) would be enforceable in all Insolvency Proceedings, subject to the modifications set forth in Sections 3.2 and 3.6.</w:t>
      </w:r>
    </w:p>
    <w:p>
      <w:pPr>
        <w:pStyle w:val="Normalindryk"/>
        <w:rPr/>
      </w:pPr>
      <w:r>
        <w:rPr/>
      </w:r>
    </w:p>
    <w:p>
      <w:pPr>
        <w:pStyle w:val="Heading2"/>
        <w:ind w:hanging="0" w:start="0"/>
        <w:rPr/>
      </w:pPr>
      <w:r>
        <w:rPr/>
        <w:t>There is no necessity of the close-out netting effected under Section 6 (Remedies) to be reflected in the records of the parties for it to be effective.</w:t>
      </w:r>
    </w:p>
    <w:p>
      <w:pPr>
        <w:pStyle w:val="Normalindryk"/>
        <w:rPr/>
      </w:pPr>
      <w:r>
        <w:rPr/>
      </w:r>
    </w:p>
    <w:p>
      <w:pPr>
        <w:pStyle w:val="Heading2"/>
        <w:ind w:hanging="0" w:start="0"/>
        <w:rPr/>
      </w:pPr>
      <w:r>
        <w:rPr/>
        <w:t>Under the laws of Denmark it is necessary for the efficacy of Section 6 (Remedies) that all Transactions should be treated as a single agreement. All Transactions entered into by the parties under the Agreement will be treated as a part of a single agreement in accordance with Section 1(c) (Single Agreement) under Danish law. Article 58 of the Danish Securities Trading Act ("Lov om værdipapirhandel") has the following wording (unauthorised translation):</w:t>
      </w:r>
    </w:p>
    <w:p>
      <w:pPr>
        <w:pStyle w:val="Normalindryk"/>
        <w:rPr/>
      </w:pPr>
      <w:r>
        <w:rPr/>
      </w:r>
    </w:p>
    <w:p>
      <w:pPr>
        <w:pStyle w:val="Normalindryk"/>
        <w:ind w:start="1701" w:end="0"/>
        <w:rPr/>
      </w:pPr>
      <w:r>
        <w:rPr/>
        <w:t>"An agreement between two parties to the effect that all their claims against one another which result from foreign-exchange and securities trading under this Act shall be set off against each other (netted) regularly or if one party violates his contractual obligations, may also with legal effect towards the estate and creditors contain a provision to the effect that the claims concerned shall be finally discharged if one of the parties is ordered to be wound up, or an administration order is applied for, or negotiations for a compulsory composition are opened, or dies."</w:t>
      </w:r>
    </w:p>
    <w:p>
      <w:pPr>
        <w:pStyle w:val="Normalindryk"/>
        <w:ind w:start="1701" w:end="0"/>
        <w:rPr/>
      </w:pPr>
      <w:r>
        <w:rPr/>
      </w:r>
    </w:p>
    <w:p>
      <w:pPr>
        <w:pStyle w:val="Normalindryk"/>
        <w:rPr/>
      </w:pPr>
      <w:r>
        <w:rPr/>
        <w:t>It has been argued in an article from 1997 that the words "all their claims" might imply that the possibility of close-out netting as provided for in Article 58 provides that all claims between the two parties in question, including claims resulting from ordinary business transactions outside the scope of a master agreement, are governed by the same master agreement.</w:t>
      </w:r>
    </w:p>
    <w:p>
      <w:pPr>
        <w:pStyle w:val="Normalindryk"/>
        <w:rPr/>
      </w:pPr>
      <w:r>
        <w:rPr/>
      </w:r>
    </w:p>
    <w:p>
      <w:pPr>
        <w:pStyle w:val="Normalindryk"/>
        <w:rPr/>
      </w:pPr>
      <w:r>
        <w:rPr/>
        <w:t>This viewpoint has found no support in the legal theory nor does it have support in the legislative history of Article 58. It was the clear intention when drafting Article 58 to ensure that Danish law in relation to close-out netting should be in line with the Lamfalussy-standards, and, consequently, that close-out netting provisions governed by a Financial Master Agreement would qualify for the benefits of Article 58. Further, the Financial Supervisory Authority ("Finanstilsynet") has in informal conversations confirmed that it does not concur with the opinion expressed in the above-referred article.</w:t>
      </w:r>
    </w:p>
    <w:p>
      <w:pPr>
        <w:pStyle w:val="Normalindryk"/>
        <w:rPr/>
      </w:pPr>
      <w:r>
        <w:rPr/>
      </w:r>
    </w:p>
    <w:p>
      <w:pPr>
        <w:pStyle w:val="Normalindryk"/>
        <w:rPr/>
      </w:pPr>
      <w:r>
        <w:rPr/>
        <w:t>We therefore find the risk pointed out in the article as theoretical and we conclude that if brought before the Danish courts, the courts would in all practical likelihood find that the single agreement principle as applied in the Agreement will qualify for the condition "all their claims".</w:t>
      </w:r>
    </w:p>
    <w:p>
      <w:pPr>
        <w:pStyle w:val="Normalindryk"/>
        <w:rPr/>
      </w:pPr>
      <w:r>
        <w:rPr/>
      </w:r>
    </w:p>
    <w:p>
      <w:pPr>
        <w:pStyle w:val="Heading2"/>
        <w:ind w:hanging="0" w:start="0"/>
        <w:rPr/>
      </w:pPr>
      <w:r>
        <w:rPr/>
        <w:t>The use of the Agreement  with branches of a party in a number of jurisdictions, including one where the legal basis for close-out netting is not clear, would not jeopardise the validity of Section 6 (Remedies) in respect of a party incorporated or organised in or with a branch in Denmark.</w:t>
      </w:r>
    </w:p>
    <w:p>
      <w:pPr>
        <w:pStyle w:val="Normalindryk"/>
        <w:rPr/>
      </w:pPr>
      <w:r>
        <w:rPr/>
      </w:r>
    </w:p>
    <w:p>
      <w:pPr>
        <w:pStyle w:val="Normalindryk"/>
        <w:rPr/>
      </w:pPr>
      <w:r>
        <w:rPr/>
        <w:t>However, since the close-out netting rule of the Danish Securities Trading Act provides that all Transactions shall be treated as part of a single agreement there might in theory be a risk that it might jeopardise the validity of Section 6 if some of the Transactions under the Agreement cannot be subject to close-out netting due to local rules applicable to one of the branches covered by the Agreement.</w:t>
      </w:r>
    </w:p>
    <w:p>
      <w:pPr>
        <w:pStyle w:val="Normalindryk"/>
        <w:rPr/>
      </w:pPr>
      <w:r>
        <w:rPr/>
      </w:r>
    </w:p>
    <w:p>
      <w:pPr>
        <w:pStyle w:val="Heading2"/>
        <w:ind w:hanging="0" w:start="0"/>
        <w:rPr/>
      </w:pPr>
      <w:r>
        <w:rPr/>
        <w:t>The provisions of Section 6 (Remedies) would be enforceable in Denmark notwithstanding that actions may be taken by insolvency officials in other jurisdictions.</w:t>
      </w:r>
    </w:p>
    <w:p>
      <w:pPr>
        <w:pStyle w:val="Normalindryk"/>
        <w:rPr/>
      </w:pPr>
      <w:r>
        <w:rPr/>
      </w:r>
    </w:p>
    <w:p>
      <w:pPr>
        <w:pStyle w:val="Heading2"/>
        <w:ind w:hanging="0" w:start="0"/>
        <w:rPr/>
      </w:pPr>
      <w:r>
        <w:rPr/>
        <w:t>The discretion and flexibility given to the parties pursuant to Section 6 (Remedies) to select Automatic Early Termination do affect the validity of the close-out provisions of that Section. We do consider that the provisions of that Article would be more likely to be upheld in cases involving Insolvency Proceedings if Automatic Early Termination applied. We refer to Section 3.2 above.</w:t>
      </w:r>
    </w:p>
    <w:p>
      <w:pPr>
        <w:pStyle w:val="Normalindryk"/>
        <w:rPr/>
      </w:pPr>
      <w:r>
        <w:rPr/>
      </w:r>
    </w:p>
    <w:p>
      <w:pPr>
        <w:pStyle w:val="Heading2"/>
        <w:ind w:hanging="0" w:start="0"/>
        <w:rPr/>
      </w:pPr>
      <w:r>
        <w:rPr/>
        <w:t>On the assumption that:</w:t>
      </w:r>
    </w:p>
    <w:p>
      <w:pPr>
        <w:pStyle w:val="Normalindryk"/>
        <w:rPr/>
      </w:pPr>
      <w:r>
        <w:rPr/>
      </w:r>
    </w:p>
    <w:p>
      <w:pPr>
        <w:pStyle w:val="Normalindryk"/>
        <w:numPr>
          <w:ilvl w:val="0"/>
          <w:numId w:val="6"/>
        </w:numPr>
        <w:tabs>
          <w:tab w:val="clear" w:pos="567"/>
          <w:tab w:val="left" w:pos="1494" w:leader="none"/>
        </w:tabs>
        <w:ind w:hanging="360" w:start="1494" w:end="0"/>
        <w:rPr/>
      </w:pPr>
      <w:r>
        <w:rPr/>
        <w:t>under the Governing Law (if other than Danish law) the unenforceability or illegality of any other provision of the Agreement would not undermine the efficacy of Section 6 (Remedies), the unenforceability or illegality of any other provision of the Agreement would not per se undermine the efficacy of that Article under Danish law; and</w:t>
      </w:r>
    </w:p>
    <w:p>
      <w:pPr>
        <w:pStyle w:val="Normalindryk"/>
        <w:rPr/>
      </w:pPr>
      <w:r>
        <w:rPr/>
      </w:r>
    </w:p>
    <w:p>
      <w:pPr>
        <w:pStyle w:val="Normalindryk"/>
        <w:numPr>
          <w:ilvl w:val="0"/>
          <w:numId w:val="6"/>
        </w:numPr>
        <w:tabs>
          <w:tab w:val="clear" w:pos="567"/>
          <w:tab w:val="left" w:pos="1494" w:leader="none"/>
        </w:tabs>
        <w:ind w:hanging="360" w:start="1494" w:end="0"/>
        <w:rPr/>
      </w:pPr>
      <w:r>
        <w:rPr/>
        <w:t>the Governing Law is Danish law, the unenforceability or illegality of any provisions other than those contained in Section 6 (Remedies) would not per se undermine the efficacy of that Section under Danish law.</w:t>
      </w:r>
    </w:p>
    <w:p>
      <w:pPr>
        <w:pStyle w:val="Normalindryk"/>
        <w:rPr/>
      </w:pPr>
      <w:r>
        <w:rPr/>
      </w:r>
    </w:p>
    <w:p>
      <w:pPr>
        <w:pStyle w:val="Heading2"/>
        <w:ind w:hanging="0" w:start="0"/>
        <w:rPr/>
      </w:pPr>
      <w:r>
        <w:rPr/>
        <w:t>In the event that the parties have selected a Termination Currency other than the currency of Denmark, the conversion of any cash payment obligation into the Termination Currency under the Agreement  would be valid and enforceable under the laws of Denmark, and such a provision is not inconsistent with the public policy of Denmark.</w:t>
      </w:r>
    </w:p>
    <w:p>
      <w:pPr>
        <w:pStyle w:val="Normalindryk"/>
        <w:rPr/>
      </w:pPr>
      <w:r>
        <w:rPr/>
      </w:r>
    </w:p>
    <w:p>
      <w:pPr>
        <w:pStyle w:val="Heading1"/>
        <w:ind w:hanging="0" w:start="0"/>
        <w:rPr/>
      </w:pPr>
      <w:r>
        <w:rPr/>
        <w:t>Other matters</w:t>
      </w:r>
    </w:p>
    <w:p>
      <w:pPr>
        <w:pStyle w:val="Heading2"/>
        <w:ind w:hanging="0" w:start="0"/>
        <w:rPr/>
      </w:pPr>
      <w:r>
        <w:rPr/>
        <w:t>The Agreement  may be used by any party with any other party wherever either is incorporated. However, this opinion relates only to companies incorporated or organised in Denmark or branches of a party incorporated or organised outside Denmark located or established in Denmark.</w:t>
      </w:r>
    </w:p>
    <w:p>
      <w:pPr>
        <w:pStyle w:val="Normalindryk"/>
        <w:rPr/>
      </w:pPr>
      <w:r>
        <w:rPr/>
      </w:r>
    </w:p>
    <w:p>
      <w:pPr>
        <w:pStyle w:val="Heading2"/>
        <w:ind w:hanging="0" w:start="0"/>
        <w:rPr/>
      </w:pPr>
      <w:r>
        <w:rPr/>
        <w:t>We have no reason to believe that the Agreement  would be unenforceable because of the law of any other jurisdiction.</w:t>
      </w:r>
    </w:p>
    <w:p>
      <w:pPr>
        <w:pStyle w:val="Normalindryk"/>
        <w:rPr/>
      </w:pPr>
      <w:r>
        <w:rPr/>
      </w:r>
    </w:p>
    <w:p>
      <w:pPr>
        <w:pStyle w:val="Normal"/>
        <w:rPr/>
      </w:pPr>
      <w:r>
        <w:rPr/>
        <w:t>There are no other material issues relevant to the issues raised by this opinion which we wish to draw to your attention.</w:t>
      </w:r>
    </w:p>
    <w:p>
      <w:pPr>
        <w:pStyle w:val="Normal"/>
        <w:rPr/>
      </w:pPr>
      <w:r>
        <w:rPr/>
      </w:r>
    </w:p>
    <w:p>
      <w:pPr>
        <w:pStyle w:val="Normal"/>
        <w:rPr/>
      </w:pPr>
      <w:r>
        <w:rPr/>
        <w:t>This opinion is given for the sole benefit of the Nordic Association of Electricity Traders and its members and may not be relied upon by any other person without our prior written consent. This legal opinion shall be governed by and construed in accordance with Danish law. Any legal suit, action or proceeding arising out of or based upon this legal opinion shall be subject to the exclusive competence of Danish courts.</w:t>
      </w:r>
    </w:p>
    <w:p>
      <w:pPr>
        <w:pStyle w:val="Normal"/>
        <w:rPr/>
      </w:pPr>
      <w:r>
        <w:rPr/>
      </w:r>
    </w:p>
    <w:p>
      <w:pPr>
        <w:pStyle w:val="Normal"/>
        <w:rPr/>
      </w:pPr>
      <w:r>
        <w:rPr/>
      </w:r>
    </w:p>
    <w:p>
      <w:pPr>
        <w:pStyle w:val="Normal"/>
        <w:rPr/>
      </w:pPr>
      <w:r>
        <w:rPr/>
        <w:t>Copenhagen, 1 May 2000</w:t>
      </w:r>
    </w:p>
    <w:p>
      <w:pPr>
        <w:pStyle w:val="Header"/>
        <w:tabs>
          <w:tab w:val="clear" w:pos="4820"/>
          <w:tab w:val="clear" w:pos="9639"/>
        </w:tabs>
        <w:spacing w:lineRule="auto" w:line="360"/>
        <w:rPr>
          <w:lang w:val="en-GB"/>
        </w:rPr>
      </w:pPr>
      <w:r>
        <w:rPr>
          <w:lang w:val="en-GB"/>
        </w:rPr>
        <w:t>Yours faithfully</w:t>
      </w:r>
    </w:p>
    <w:p>
      <w:pPr>
        <w:pStyle w:val="Normal"/>
        <w:rPr/>
      </w:pPr>
      <w:r>
        <w:rPr/>
        <w:t>Kromann Reumert</w:t>
      </w:r>
    </w:p>
    <w:p>
      <w:pPr>
        <w:pStyle w:val="Normal"/>
        <w:rPr/>
      </w:pPr>
      <w:r>
        <w:rPr/>
      </w:r>
    </w:p>
    <w:p>
      <w:pPr>
        <w:pStyle w:val="Normal"/>
        <w:rPr/>
      </w:pPr>
      <w:r>
        <w:rPr/>
        <w:t>Anders Stubbe Arndal</w:t>
      </w:r>
    </w:p>
    <w:sectPr>
      <w:headerReference w:type="default" r:id="rId2"/>
      <w:headerReference w:type="first" r:id="rId3"/>
      <w:footerReference w:type="default" r:id="rId4"/>
      <w:footerReference w:type="first" r:id="rId5"/>
      <w:type w:val="nextPage"/>
      <w:pgSz w:w="11906" w:h="16838"/>
      <w:pgMar w:left="1701" w:right="680" w:gutter="0" w:header="1134" w:top="2381" w:footer="760" w:bottom="181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rueFrutigerLight">
    <w:charset w:val="00" w:characterSet="windows-1252"/>
    <w:family w:val="auto"/>
    <w:pitch w:val="variable"/>
  </w:font>
  <w:font w:name="Liberation Sans">
    <w:altName w:val="Arial"/>
    <w:charset w:val="01" w:characterSet="utf-8"/>
    <w:family w:val="swiss"/>
    <w:pitch w:val="variable"/>
  </w:font>
  <w:font w:name="Gill-Sans-IM">
    <w:charset w:val="00" w:characterSet="windows-1252"/>
    <w:family w:val="auto"/>
    <w:pitch w:val="variable"/>
  </w:font>
  <w:font w:name="Gill San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9639"/>
        <w:tab w:val="center" w:pos="4820" w:leader="none"/>
        <w:tab w:val="right" w:pos="9498" w:leader="none"/>
      </w:tabs>
      <w:rPr>
        <w:rStyle w:val="PageNumber"/>
      </w:rPr>
    </w:pPr>
    <w:r>
      <w:rPr/>
      <w:tab/>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tabs>
        <w:tab w:val="clear" w:pos="4820"/>
        <w:tab w:val="clear" w:pos="9639"/>
        <w:tab w:val="center" w:pos="3544" w:leader="none"/>
        <w:tab w:val="right" w:pos="7938" w:leader="none"/>
      </w:tabs>
      <w:ind w:start="-1701" w:end="0"/>
      <w:rPr>
        <w:rStyle w:val="PageNumber"/>
        <w:sz w:val="8"/>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rPr>
    </w:pPr>
    <w:r>
      <w:rPr>
        <w:rFonts w:cs="Times New Roman" w:ascii="Times New Roman" w:hAnsi="Times New Roman"/>
      </w:rPr>
    </w:r>
  </w:p>
  <w:tbl>
    <w:tblPr>
      <w:tblW w:w="9469" w:type="dxa"/>
      <w:jc w:val="start"/>
      <w:tblInd w:w="0" w:type="dxa"/>
      <w:tblLayout w:type="fixed"/>
      <w:tblCellMar>
        <w:top w:w="0" w:type="dxa"/>
        <w:start w:w="0" w:type="dxa"/>
        <w:bottom w:w="0" w:type="dxa"/>
        <w:end w:w="0" w:type="dxa"/>
      </w:tblCellMar>
    </w:tblPr>
    <w:tblGrid>
      <w:gridCol w:w="9469"/>
    </w:tblGrid>
    <w:tr>
      <w:trPr/>
      <w:tc>
        <w:tcPr>
          <w:tcW w:w="9469" w:type="dxa"/>
          <w:tcBorders/>
        </w:tcPr>
        <w:p>
          <w:pPr>
            <w:pStyle w:val="Udkast"/>
            <w:snapToGrid w:val="false"/>
            <w:jc w:val="center"/>
            <w:rPr>
              <w:rFonts w:ascii="TrueFrutigerLight" w:hAnsi="TrueFrutigerLight" w:cs="TrueFrutigerLight"/>
              <w:b w:val="false"/>
              <w:sz w:val="10"/>
            </w:rPr>
          </w:pPr>
          <w:r>
            <w:rPr>
              <w:rFonts w:cs="TrueFrutigerLight" w:ascii="TrueFrutigerLight" w:hAnsi="TrueFrutigerLight"/>
              <w:b w:val="false"/>
              <w:sz w:val="10"/>
            </w:rPr>
          </w:r>
        </w:p>
      </w:tc>
    </w:tr>
  </w:tbl>
  <w:p>
    <w:pPr>
      <w:pStyle w:val="Header"/>
      <w:rPr>
        <w:lang w:val="da-DK"/>
      </w:rPr>
    </w:pPr>
    <w:r>
      <w:rPr>
        <w:lang w:val="da-DK"/>
      </w:rPr>
    </w:r>
    <w:bookmarkStart w:id="0" w:name="IntShs1Eg"/>
    <w:bookmarkStart w:id="1" w:name="IntShs1Eg"/>
    <w:bookmarkEnd w:id="1"/>
  </w:p>
  <w:p>
    <w:pPr>
      <w:pStyle w:val="Header"/>
      <w:rPr>
        <w:sz w:val="12"/>
      </w:rPr>
    </w:pPr>
    <w:r>
      <w:rPr>
        <w:sz w:val="12"/>
      </w:rPr>
    </w:r>
    <w:bookmarkStart w:id="2" w:name="IntShs1Eg"/>
    <w:bookmarkStart w:id="3" w:name="IntShs1Eg"/>
    <w:bookmarkEnd w:id="3"/>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0"/>
        </w:tabs>
        <w:ind w:start="1134" w:hanging="1134"/>
      </w:pPr>
      <w:rPr>
        <w:u w:val="none"/>
      </w:rPr>
    </w:lvl>
    <w:lvl w:ilvl="1">
      <w:start w:val="1"/>
      <w:pStyle w:val="Heading2"/>
      <w:numFmt w:val="decimal"/>
      <w:lvlText w:val="%1.%2"/>
      <w:lvlJc w:val="start"/>
      <w:pPr>
        <w:tabs>
          <w:tab w:val="num" w:pos="1134"/>
        </w:tabs>
        <w:ind w:start="1134" w:hanging="1134"/>
      </w:pPr>
      <w:rPr>
        <w:sz w:val="16"/>
        <w:i w:val="false"/>
        <w:u w:val="none"/>
        <w:b w:val="false"/>
        <w:rFonts w:ascii="TrueFrutigerLight" w:hAnsi="TrueFrutigerLight" w:cs="TrueFrutigerLight"/>
      </w:rPr>
    </w:lvl>
    <w:lvl w:ilvl="2">
      <w:start w:val="1"/>
      <w:pStyle w:val="Heading3"/>
      <w:numFmt w:val="decimal"/>
      <w:lvlText w:val="%1.%2.%3"/>
      <w:lvlJc w:val="start"/>
      <w:pPr>
        <w:tabs>
          <w:tab w:val="num" w:pos="1134"/>
        </w:tabs>
        <w:ind w:start="1134" w:hanging="1134"/>
      </w:pPr>
      <w:rPr>
        <w:sz w:val="16"/>
        <w:i w:val="false"/>
        <w:u w:val="none"/>
        <w:b w:val="false"/>
        <w:rFonts w:ascii="TrueFrutigerLight" w:hAnsi="TrueFrutigerLight" w:cs="TrueFrutigerLight"/>
      </w:rPr>
    </w:lvl>
    <w:lvl w:ilvl="3">
      <w:start w:val="1"/>
      <w:pStyle w:val="Heading4"/>
      <w:numFmt w:val="decimal"/>
      <w:lvlText w:val="%1.%2.%3.%4"/>
      <w:lvlJc w:val="start"/>
      <w:pPr>
        <w:tabs>
          <w:tab w:val="num" w:pos="1134"/>
        </w:tabs>
        <w:ind w:start="1134" w:hanging="1134"/>
      </w:pPr>
      <w:rPr>
        <w:sz w:val="16"/>
        <w:i w:val="false"/>
        <w:u w:val="none"/>
        <w:b w:val="false"/>
        <w:rFonts w:ascii="TrueFrutigerLight" w:hAnsi="TrueFrutigerLight" w:cs="TrueFrutigerLight"/>
      </w:rPr>
    </w:lvl>
    <w:lvl w:ilvl="4">
      <w:start w:val="1"/>
      <w:pStyle w:val="Heading5"/>
      <w:numFmt w:val="decimal"/>
      <w:lvlText w:val="%1.%2.%3.%4.%5"/>
      <w:lvlJc w:val="start"/>
      <w:pPr>
        <w:tabs>
          <w:tab w:val="num" w:pos="1134"/>
        </w:tabs>
        <w:ind w:start="1134" w:hanging="1134"/>
      </w:pPr>
      <w:rPr>
        <w:sz w:val="16"/>
        <w:i w:val="false"/>
        <w:u w:val="none"/>
        <w:b w:val="false"/>
        <w:rFonts w:ascii="TrueFrutigerLight" w:hAnsi="TrueFrutigerLight" w:cs="TrueFrutigerLight"/>
      </w:rPr>
    </w:lvl>
    <w:lvl w:ilvl="5">
      <w:start w:val="1"/>
      <w:pStyle w:val="Heading6"/>
      <w:numFmt w:val="decimal"/>
      <w:lvlText w:val="%1.%2.%3.%4.%5.%6"/>
      <w:lvlJc w:val="start"/>
      <w:pPr>
        <w:tabs>
          <w:tab w:val="num" w:pos="1134"/>
        </w:tabs>
        <w:ind w:start="1134" w:hanging="1134"/>
      </w:pPr>
      <w:rPr>
        <w:sz w:val="16"/>
        <w:i w:val="false"/>
        <w:u w:val="none"/>
        <w:b w:val="false"/>
        <w:rFonts w:ascii="TrueFrutigerLight" w:hAnsi="TrueFrutigerLight" w:cs="TrueFrutigerLight"/>
      </w:rPr>
    </w:lvl>
    <w:lvl w:ilvl="6">
      <w:start w:val="1"/>
      <w:pStyle w:val="Heading7"/>
      <w:numFmt w:val="decimal"/>
      <w:lvlText w:val="%1.%2.%3.%4.%5.%6.%7"/>
      <w:lvlJc w:val="start"/>
      <w:pPr>
        <w:tabs>
          <w:tab w:val="num" w:pos="1440"/>
        </w:tabs>
        <w:ind w:start="1134" w:hanging="1134"/>
      </w:pPr>
      <w:rPr>
        <w:sz w:val="16"/>
        <w:i w:val="false"/>
        <w:u w:val="none"/>
        <w:b w:val="false"/>
        <w:rFonts w:ascii="TrueFrutigerLight" w:hAnsi="TrueFrutigerLight" w:cs="TrueFrutigerLight"/>
      </w:rPr>
    </w:lvl>
    <w:lvl w:ilvl="7">
      <w:start w:val="1"/>
      <w:pStyle w:val="Heading8"/>
      <w:numFmt w:val="decimal"/>
      <w:lvlText w:val="%1.%2.%3.%4.%5.%6.%7.%8"/>
      <w:lvlJc w:val="start"/>
      <w:pPr>
        <w:tabs>
          <w:tab w:val="num" w:pos="1440"/>
        </w:tabs>
        <w:ind w:start="1134" w:hanging="1134"/>
      </w:pPr>
      <w:rPr>
        <w:sz w:val="16"/>
        <w:i w:val="false"/>
        <w:u w:val="none"/>
        <w:b w:val="false"/>
        <w:rFonts w:ascii="TrueFrutigerLight" w:hAnsi="TrueFrutigerLight" w:cs="TrueFrutigerLight"/>
      </w:rPr>
    </w:lvl>
    <w:lvl w:ilvl="8">
      <w:start w:val="1"/>
      <w:pStyle w:val="Heading9"/>
      <w:numFmt w:val="decimal"/>
      <w:lvlText w:val="%1.%2.%3.%4.%5.%6.%7.%8.%9"/>
      <w:lvlJc w:val="start"/>
      <w:pPr>
        <w:tabs>
          <w:tab w:val="num" w:pos="1800"/>
        </w:tabs>
        <w:ind w:start="1134" w:hanging="1134"/>
      </w:pPr>
      <w:rPr>
        <w:sz w:val="16"/>
        <w:i w:val="false"/>
        <w:u w:val="none"/>
        <w:b w:val="false"/>
        <w:rFonts w:ascii="TrueFrutigerLight" w:hAnsi="TrueFrutigerLight" w:cs="TrueFrutigerLight"/>
      </w:rPr>
    </w:lvl>
  </w:abstractNum>
  <w:abstractNum w:abstractNumId="2">
    <w:lvl w:ilvl="0">
      <w:start w:val="1"/>
      <w:numFmt w:val="lowerLetter"/>
      <w:lvlText w:val="%1)"/>
      <w:lvlJc w:val="start"/>
      <w:pPr>
        <w:tabs>
          <w:tab w:val="num" w:pos="567"/>
        </w:tabs>
        <w:ind w:start="567" w:hanging="567"/>
      </w:pPr>
    </w:lvl>
    <w:lvl w:ilvl="1">
      <w:start w:val="1"/>
      <w:numFmt w:val="decimal"/>
      <w:lvlText w:val="%2."/>
      <w:lvlJc w:val="start"/>
      <w:pPr>
        <w:tabs>
          <w:tab w:val="num" w:pos="1134"/>
        </w:tabs>
        <w:ind w:start="1134" w:hanging="567"/>
      </w:pPr>
    </w:lvl>
    <w:lvl w:ilvl="2">
      <w:start w:val="1"/>
      <w:numFmt w:val="lowerRoman"/>
      <w:lvlText w:val="%3)"/>
      <w:lvlJc w:val="start"/>
      <w:pPr>
        <w:tabs>
          <w:tab w:val="num" w:pos="1701"/>
        </w:tabs>
        <w:ind w:start="1701" w:hanging="567"/>
      </w:pPr>
    </w:lvl>
    <w:lvl w:ilvl="3">
      <w:start w:val="1"/>
      <w:numFmt w:val="lowerLetter"/>
      <w:lvlText w:val="%4)"/>
      <w:lvlJc w:val="start"/>
      <w:pPr>
        <w:tabs>
          <w:tab w:val="num" w:pos="2268"/>
        </w:tabs>
        <w:ind w:start="2268" w:hanging="567"/>
      </w:pPr>
    </w:lvl>
    <w:lvl w:ilvl="4">
      <w:start w:val="1"/>
      <w:numFmt w:val="decimal"/>
      <w:lvlText w:val="(%5)"/>
      <w:lvlJc w:val="start"/>
      <w:pPr>
        <w:tabs>
          <w:tab w:val="num" w:pos="2835"/>
        </w:tabs>
        <w:ind w:start="2835" w:hanging="567"/>
      </w:pPr>
    </w:lvl>
    <w:lvl w:ilvl="5">
      <w:start w:val="1"/>
      <w:numFmt w:val="lowerLetter"/>
      <w:lvlText w:val="(%6)"/>
      <w:lvlJc w:val="start"/>
      <w:pPr>
        <w:tabs>
          <w:tab w:val="num" w:pos="3402"/>
        </w:tabs>
        <w:ind w:start="3402" w:hanging="567"/>
      </w:pPr>
    </w:lvl>
    <w:lvl w:ilvl="6">
      <w:start w:val="1"/>
      <w:numFmt w:val="lowerRoman"/>
      <w:lvlText w:val="(%7)"/>
      <w:lvlJc w:val="start"/>
      <w:pPr>
        <w:tabs>
          <w:tab w:val="num" w:pos="3969"/>
        </w:tabs>
        <w:ind w:start="3969" w:hanging="567"/>
      </w:pPr>
    </w:lvl>
    <w:lvl w:ilvl="7">
      <w:start w:val="1"/>
      <w:numFmt w:val="lowerLetter"/>
      <w:lvlText w:val="(%8)"/>
      <w:lvlJc w:val="start"/>
      <w:pPr>
        <w:tabs>
          <w:tab w:val="num" w:pos="4535"/>
        </w:tabs>
        <w:ind w:start="4535" w:hanging="566"/>
      </w:pPr>
    </w:lvl>
    <w:lvl w:ilvl="8">
      <w:start w:val="1"/>
      <w:numFmt w:val="lowerRoman"/>
      <w:lvlText w:val="(%9)"/>
      <w:lvlJc w:val="start"/>
      <w:pPr>
        <w:tabs>
          <w:tab w:val="num" w:pos="5102"/>
        </w:tabs>
        <w:ind w:start="5102" w:hanging="567"/>
      </w:pPr>
    </w:lvl>
  </w:abstractNum>
  <w:abstractNum w:abstractNumId="3">
    <w:lvl w:ilvl="0">
      <w:start w:val="4"/>
      <w:numFmt w:val="none"/>
      <w:suff w:val="nothing"/>
      <w:lvlText w:val="re "/>
      <w:lvlJc w:val="start"/>
      <w:pPr>
        <w:tabs>
          <w:tab w:val="num" w:pos="0"/>
        </w:tabs>
        <w:ind w:start="0" w:hanging="0"/>
      </w:pPr>
      <w:rPr>
        <w:u w:val="single"/>
      </w:rPr>
    </w:lvl>
  </w:abstractNum>
  <w:abstractNum w:abstractNumId="4">
    <w:lvl w:ilvl="0">
      <w:start w:val="1"/>
      <w:numFmt w:val="decimal"/>
      <w:lvlText w:val="%1."/>
      <w:lvlJc w:val="start"/>
      <w:pPr>
        <w:tabs>
          <w:tab w:val="num" w:pos="567"/>
        </w:tabs>
        <w:ind w:start="567" w:hanging="567"/>
      </w:pPr>
    </w:lvl>
    <w:lvl w:ilvl="1">
      <w:start w:val="1"/>
      <w:numFmt w:val="lowerLetter"/>
      <w:lvlText w:val="%2)"/>
      <w:lvlJc w:val="start"/>
      <w:pPr>
        <w:tabs>
          <w:tab w:val="num" w:pos="1134"/>
        </w:tabs>
        <w:ind w:start="1134" w:hanging="567"/>
      </w:pPr>
    </w:lvl>
    <w:lvl w:ilvl="2">
      <w:start w:val="1"/>
      <w:numFmt w:val="lowerRoman"/>
      <w:lvlText w:val="%3)"/>
      <w:lvlJc w:val="start"/>
      <w:pPr>
        <w:tabs>
          <w:tab w:val="num" w:pos="1701"/>
        </w:tabs>
        <w:ind w:start="1701" w:hanging="567"/>
      </w:pPr>
    </w:lvl>
    <w:lvl w:ilvl="3">
      <w:start w:val="1"/>
      <w:numFmt w:val="lowerLetter"/>
      <w:lvlText w:val="%4)"/>
      <w:lvlJc w:val="start"/>
      <w:pPr>
        <w:tabs>
          <w:tab w:val="num" w:pos="2268"/>
        </w:tabs>
        <w:ind w:start="2268" w:hanging="567"/>
      </w:pPr>
    </w:lvl>
    <w:lvl w:ilvl="4">
      <w:start w:val="1"/>
      <w:numFmt w:val="decimal"/>
      <w:lvlText w:val="(%5)"/>
      <w:lvlJc w:val="start"/>
      <w:pPr>
        <w:tabs>
          <w:tab w:val="num" w:pos="2835"/>
        </w:tabs>
        <w:ind w:start="2835" w:hanging="567"/>
      </w:pPr>
    </w:lvl>
    <w:lvl w:ilvl="5">
      <w:start w:val="1"/>
      <w:numFmt w:val="lowerLetter"/>
      <w:lvlText w:val="(%6)"/>
      <w:lvlJc w:val="start"/>
      <w:pPr>
        <w:tabs>
          <w:tab w:val="num" w:pos="3402"/>
        </w:tabs>
        <w:ind w:start="3402" w:hanging="567"/>
      </w:pPr>
    </w:lvl>
    <w:lvl w:ilvl="6">
      <w:start w:val="1"/>
      <w:numFmt w:val="lowerRoman"/>
      <w:lvlText w:val="(%7)"/>
      <w:lvlJc w:val="start"/>
      <w:pPr>
        <w:tabs>
          <w:tab w:val="num" w:pos="3969"/>
        </w:tabs>
        <w:ind w:start="3969" w:hanging="567"/>
      </w:pPr>
    </w:lvl>
    <w:lvl w:ilvl="7">
      <w:start w:val="1"/>
      <w:numFmt w:val="lowerLetter"/>
      <w:lvlText w:val="(%8)"/>
      <w:lvlJc w:val="start"/>
      <w:pPr>
        <w:tabs>
          <w:tab w:val="num" w:pos="4535"/>
        </w:tabs>
        <w:ind w:start="4535" w:hanging="566"/>
      </w:pPr>
    </w:lvl>
    <w:lvl w:ilvl="8">
      <w:start w:val="1"/>
      <w:numFmt w:val="lowerRoman"/>
      <w:lvlText w:val="(%9)"/>
      <w:lvlJc w:val="start"/>
      <w:pPr>
        <w:tabs>
          <w:tab w:val="num" w:pos="5102"/>
        </w:tabs>
        <w:ind w:start="5102" w:hanging="567"/>
      </w:pPr>
    </w:lvl>
  </w:abstractNum>
  <w:abstractNum w:abstractNumId="5">
    <w:lvl w:ilvl="0">
      <w:start w:val="1"/>
      <w:numFmt w:val="lowerLetter"/>
      <w:lvlText w:val="(%1)"/>
      <w:lvlJc w:val="start"/>
      <w:pPr>
        <w:tabs>
          <w:tab w:val="num" w:pos="360"/>
        </w:tabs>
        <w:ind w:start="360" w:hanging="360"/>
      </w:pPr>
    </w:lvl>
  </w:abstractNum>
  <w:abstractNum w:abstractNumId="6">
    <w:lvl w:ilvl="0">
      <w:start w:val="1"/>
      <w:numFmt w:val="lowerLetter"/>
      <w:lvlText w:val="(%1)"/>
      <w:lvlJc w:val="start"/>
      <w:pPr>
        <w:tabs>
          <w:tab w:val="num" w:pos="360"/>
        </w:tabs>
        <w:ind w:start="360" w:hanging="360"/>
      </w:pPr>
    </w:lvl>
  </w:abstractNum>
  <w:abstractNum w:abstractNumId="7">
    <w:lvl w:ilvl="0">
      <w:start w:val="1"/>
      <w:numFmt w:val="decimal"/>
      <w:lvlText w:val="–%1"/>
      <w:lvlJc w:val="start"/>
      <w:pPr>
        <w:tabs>
          <w:tab w:val="num" w:pos="567"/>
        </w:tabs>
        <w:ind w:start="567" w:hanging="567"/>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567"/>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spacing w:lineRule="auto" w:line="396"/>
    </w:pPr>
    <w:rPr>
      <w:rFonts w:ascii="TrueFrutigerLight" w:hAnsi="TrueFrutigerLight" w:eastAsia="Times New Roman" w:cs="TrueFrutigerLight"/>
      <w:color w:val="auto"/>
      <w:sz w:val="20"/>
      <w:szCs w:val="20"/>
      <w:lang w:val="en-GB" w:eastAsia="zh-CN" w:bidi="hi-IN"/>
    </w:rPr>
  </w:style>
  <w:style w:type="paragraph" w:styleId="Heading1">
    <w:name w:val="heading 1"/>
    <w:basedOn w:val="Normal"/>
    <w:next w:val="Normalindryk"/>
    <w:qFormat/>
    <w:pPr>
      <w:keepNext w:val="true"/>
      <w:numPr>
        <w:ilvl w:val="0"/>
        <w:numId w:val="1"/>
      </w:numPr>
      <w:tabs>
        <w:tab w:val="clear" w:pos="567"/>
        <w:tab w:val="left" w:pos="0" w:leader="none"/>
        <w:tab w:val="left" w:pos="1134" w:leader="none"/>
        <w:tab w:val="left" w:pos="9497" w:leader="none"/>
      </w:tabs>
      <w:spacing w:lineRule="auto" w:line="360" w:before="0" w:after="320"/>
      <w:outlineLvl w:val="0"/>
    </w:pPr>
    <w:rPr>
      <w:caps/>
      <w:spacing w:val="20"/>
    </w:rPr>
  </w:style>
  <w:style w:type="paragraph" w:styleId="Heading2">
    <w:name w:val="heading 2"/>
    <w:basedOn w:val="Normal"/>
    <w:next w:val="Normalindryk"/>
    <w:qFormat/>
    <w:pPr>
      <w:numPr>
        <w:ilvl w:val="1"/>
        <w:numId w:val="1"/>
      </w:numPr>
      <w:spacing w:lineRule="auto" w:line="396"/>
      <w:outlineLvl w:val="1"/>
    </w:pPr>
    <w:rPr/>
  </w:style>
  <w:style w:type="paragraph" w:styleId="Heading3">
    <w:name w:val="heading 3"/>
    <w:basedOn w:val="Heading2"/>
    <w:next w:val="Normalindryk"/>
    <w:qFormat/>
    <w:pPr>
      <w:numPr>
        <w:ilvl w:val="2"/>
        <w:numId w:val="1"/>
      </w:numPr>
      <w:outlineLvl w:val="2"/>
    </w:pPr>
    <w:rPr/>
  </w:style>
  <w:style w:type="paragraph" w:styleId="Heading4">
    <w:name w:val="heading 4"/>
    <w:basedOn w:val="Heading2"/>
    <w:next w:val="Normalindryk"/>
    <w:qFormat/>
    <w:pPr>
      <w:numPr>
        <w:ilvl w:val="3"/>
        <w:numId w:val="1"/>
      </w:numPr>
      <w:outlineLvl w:val="3"/>
    </w:pPr>
    <w:rPr/>
  </w:style>
  <w:style w:type="paragraph" w:styleId="Heading5">
    <w:name w:val="heading 5"/>
    <w:basedOn w:val="Heading2"/>
    <w:next w:val="Normalindryk"/>
    <w:qFormat/>
    <w:pPr>
      <w:numPr>
        <w:ilvl w:val="4"/>
        <w:numId w:val="1"/>
      </w:numPr>
      <w:outlineLvl w:val="4"/>
    </w:pPr>
    <w:rPr/>
  </w:style>
  <w:style w:type="paragraph" w:styleId="Heading6">
    <w:name w:val="heading 6"/>
    <w:basedOn w:val="Heading2"/>
    <w:next w:val="Normalindryk"/>
    <w:qFormat/>
    <w:pPr>
      <w:numPr>
        <w:ilvl w:val="5"/>
        <w:numId w:val="1"/>
      </w:numPr>
      <w:outlineLvl w:val="5"/>
    </w:pPr>
    <w:rPr/>
  </w:style>
  <w:style w:type="paragraph" w:styleId="Heading7">
    <w:name w:val="heading 7"/>
    <w:basedOn w:val="Heading2"/>
    <w:next w:val="Normalindryk"/>
    <w:qFormat/>
    <w:pPr>
      <w:numPr>
        <w:ilvl w:val="6"/>
        <w:numId w:val="1"/>
      </w:numPr>
      <w:outlineLvl w:val="6"/>
    </w:pPr>
    <w:rPr/>
  </w:style>
  <w:style w:type="paragraph" w:styleId="Heading8">
    <w:name w:val="heading 8"/>
    <w:basedOn w:val="Heading2"/>
    <w:next w:val="Normalindryk"/>
    <w:qFormat/>
    <w:pPr>
      <w:numPr>
        <w:ilvl w:val="7"/>
        <w:numId w:val="1"/>
      </w:numPr>
      <w:outlineLvl w:val="7"/>
    </w:pPr>
    <w:rPr/>
  </w:style>
  <w:style w:type="paragraph" w:styleId="Heading9">
    <w:name w:val="heading 9"/>
    <w:basedOn w:val="Heading2"/>
    <w:next w:val="Normalindryk"/>
    <w:qFormat/>
    <w:pPr>
      <w:numPr>
        <w:ilvl w:val="8"/>
        <w:numId w:val="1"/>
      </w:numPr>
      <w:outlineLvl w:val="8"/>
    </w:pPr>
    <w:rPr/>
  </w:style>
  <w:style w:type="character" w:styleId="WW8Num1z0">
    <w:name w:val="WW8Num1z0"/>
    <w:qFormat/>
    <w:rPr>
      <w:u w:val="none"/>
    </w:rPr>
  </w:style>
  <w:style w:type="character" w:styleId="WW8Num1z1">
    <w:name w:val="WW8Num1z1"/>
    <w:qFormat/>
    <w:rPr>
      <w:rFonts w:ascii="TrueFrutigerLight" w:hAnsi="TrueFrutigerLight" w:cs="TrueFrutigerLight"/>
      <w:b w:val="false"/>
      <w:i w:val="false"/>
      <w:sz w:val="16"/>
      <w:u w:val="none"/>
    </w:rPr>
  </w:style>
  <w:style w:type="character" w:styleId="WW8Num2z0">
    <w:name w:val="WW8Num2z0"/>
    <w:qFormat/>
    <w:rPr>
      <w:u w:val="single"/>
    </w:rPr>
  </w:style>
  <w:style w:type="character" w:styleId="WW8Num3z0">
    <w:name w:val="WW8Num3z0"/>
    <w:qFormat/>
    <w:rPr>
      <w:u w:val="none"/>
    </w:rPr>
  </w:style>
  <w:style w:type="character" w:styleId="WW8Num4z0">
    <w:name w:val="WW8Num4z0"/>
    <w:qFormat/>
    <w:rPr>
      <w:u w:val="none"/>
    </w:rPr>
  </w:style>
  <w:style w:type="character" w:styleId="WW8Num5z0">
    <w:name w:val="WW8Num5z0"/>
    <w:qFormat/>
    <w:rPr>
      <w:rFonts w:ascii="Symbol" w:hAnsi="Symbol" w:cs="Symbol"/>
    </w:rPr>
  </w:style>
  <w:style w:type="character" w:styleId="WW8Num7z0">
    <w:name w:val="WW8Num7z0"/>
    <w:qFormat/>
    <w:rPr>
      <w:rFonts w:ascii="Symbol" w:hAnsi="Symbol" w:cs="Symbol"/>
    </w:rPr>
  </w:style>
  <w:style w:type="character" w:styleId="WW8Num9z0">
    <w:name w:val="WW8Num9z0"/>
    <w:qFormat/>
    <w:rPr>
      <w:u w:val="single"/>
    </w:rPr>
  </w:style>
  <w:style w:type="character" w:styleId="WW8Num10z0">
    <w:name w:val="WW8Num10z0"/>
    <w:qFormat/>
    <w:rPr>
      <w:u w:val="single"/>
    </w:rPr>
  </w:style>
  <w:style w:type="character" w:styleId="WW8Num11z0">
    <w:name w:val="WW8Num11z0"/>
    <w:qFormat/>
    <w:rPr>
      <w:u w:val="single"/>
    </w:rPr>
  </w:style>
  <w:style w:type="character" w:styleId="WW8Num13z0">
    <w:name w:val="WW8Num13z0"/>
    <w:qFormat/>
    <w:rPr>
      <w:u w:val="none"/>
    </w:rPr>
  </w:style>
  <w:style w:type="character" w:styleId="WW8Num15z0">
    <w:name w:val="WW8Num15z0"/>
    <w:qFormat/>
    <w:rPr>
      <w:rFonts w:ascii="Symbol" w:hAnsi="Symbol" w:cs="Symbol"/>
    </w:rPr>
  </w:style>
  <w:style w:type="character" w:styleId="WW8Num16z0">
    <w:name w:val="WW8Num16z0"/>
    <w:qFormat/>
    <w:rPr>
      <w:u w:val="none"/>
    </w:rPr>
  </w:style>
  <w:style w:type="character" w:styleId="DefaultParagraphFont">
    <w:name w:val="Default Paragraph Font"/>
    <w:qFormat/>
    <w:rPr/>
  </w:style>
  <w:style w:type="character" w:styleId="PageNumber">
    <w:name w:val="page number"/>
    <w:basedOn w:val="DefaultParagraphFont"/>
    <w:rPr>
      <w:lang w:val="en-CA" w:eastAsia="en-CA"/>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ryk">
    <w:name w:val="Normal indryk"/>
    <w:basedOn w:val="Normal"/>
    <w:qFormat/>
    <w:pPr>
      <w:ind w:hanging="0" w:start="1134" w:end="0"/>
    </w:pPr>
    <w:rPr/>
  </w:style>
  <w:style w:type="paragraph" w:styleId="HeaderandFooter">
    <w:name w:val="Header and Footer"/>
    <w:basedOn w:val="Normal"/>
    <w:qFormat/>
    <w:pPr>
      <w:suppressLineNumbers/>
      <w:tabs>
        <w:tab w:val="clear" w:pos="567"/>
        <w:tab w:val="center" w:pos="4986" w:leader="none"/>
        <w:tab w:val="right" w:pos="9972" w:leader="none"/>
      </w:tabs>
    </w:pPr>
    <w:rPr/>
  </w:style>
  <w:style w:type="paragraph" w:styleId="Header">
    <w:name w:val="header"/>
    <w:basedOn w:val="Normal"/>
    <w:pPr>
      <w:tabs>
        <w:tab w:val="clear" w:pos="567"/>
        <w:tab w:val="center" w:pos="4820" w:leader="none"/>
        <w:tab w:val="right" w:pos="9639" w:leader="none"/>
      </w:tabs>
      <w:spacing w:lineRule="auto" w:line="240"/>
    </w:pPr>
    <w:rPr>
      <w:lang w:val="en-CA" w:eastAsia="en-CA"/>
    </w:rPr>
  </w:style>
  <w:style w:type="paragraph" w:styleId="Footer">
    <w:name w:val="footer"/>
    <w:basedOn w:val="Normal"/>
    <w:pPr>
      <w:tabs>
        <w:tab w:val="clear" w:pos="567"/>
        <w:tab w:val="center" w:pos="4820" w:leader="none"/>
        <w:tab w:val="right" w:pos="9639" w:leader="none"/>
      </w:tabs>
    </w:pPr>
    <w:rPr>
      <w:lang w:val="en-CA"/>
    </w:rPr>
  </w:style>
  <w:style w:type="paragraph" w:styleId="Opstilmat-that-dass">
    <w:name w:val="Opstil m. at - that - dass"/>
    <w:basedOn w:val="Normal"/>
    <w:qFormat/>
    <w:pPr>
      <w:numPr>
        <w:ilvl w:val="0"/>
        <w:numId w:val="5"/>
      </w:numPr>
      <w:spacing w:before="0" w:after="300"/>
    </w:pPr>
    <w:rPr/>
  </w:style>
  <w:style w:type="paragraph" w:styleId="Opstilmbogstav">
    <w:name w:val="Opstil m. bogstav"/>
    <w:basedOn w:val="Normal"/>
    <w:qFormat/>
    <w:pPr>
      <w:numPr>
        <w:ilvl w:val="0"/>
        <w:numId w:val="2"/>
      </w:numPr>
      <w:spacing w:before="0" w:after="300"/>
    </w:pPr>
    <w:rPr/>
  </w:style>
  <w:style w:type="paragraph" w:styleId="shs">
    <w:name w:val="shs"/>
    <w:basedOn w:val="Normal"/>
    <w:qFormat/>
    <w:pPr>
      <w:spacing w:lineRule="auto" w:line="240" w:before="0" w:after="54"/>
      <w:jc w:val="start"/>
    </w:pPr>
    <w:rPr>
      <w:rFonts w:ascii="Gill-Sans-IM" w:hAnsi="Gill-Sans-IM" w:cs="Gill-Sans-IM"/>
      <w:spacing w:val="4"/>
      <w:sz w:val="11"/>
      <w:lang w:val="en-CA"/>
    </w:rPr>
  </w:style>
  <w:style w:type="paragraph" w:styleId="Opstilm-pind">
    <w:name w:val="Opstil m. - pind"/>
    <w:basedOn w:val="Normal"/>
    <w:qFormat/>
    <w:pPr>
      <w:numPr>
        <w:ilvl w:val="0"/>
        <w:numId w:val="7"/>
      </w:numPr>
      <w:spacing w:before="0" w:after="300"/>
      <w:ind w:hanging="567" w:start="567" w:end="0"/>
    </w:pPr>
    <w:rPr/>
  </w:style>
  <w:style w:type="paragraph" w:styleId="Opstilmtal">
    <w:name w:val="Opstil m. tal"/>
    <w:basedOn w:val="Normal"/>
    <w:qFormat/>
    <w:pPr>
      <w:numPr>
        <w:ilvl w:val="0"/>
        <w:numId w:val="4"/>
      </w:numPr>
      <w:spacing w:before="0" w:after="300"/>
    </w:pPr>
    <w:rPr/>
  </w:style>
  <w:style w:type="paragraph" w:styleId="Udkast">
    <w:name w:val="Udkast"/>
    <w:qFormat/>
    <w:pPr>
      <w:widowControl/>
      <w:bidi w:val="0"/>
    </w:pPr>
    <w:rPr>
      <w:rFonts w:ascii="Gill Sans" w:hAnsi="Gill Sans" w:eastAsia="Times New Roman" w:cs="Gill Sans"/>
      <w:b/>
      <w:vanish/>
      <w:color w:val="auto"/>
      <w:sz w:val="32"/>
      <w:szCs w:val="20"/>
      <w:lang w:val="en-CA" w:eastAsia="zh-CN" w:bidi="hi-IN"/>
    </w:rPr>
  </w:style>
  <w:style w:type="paragraph" w:styleId="Opstilmad-re-zu">
    <w:name w:val="Opstil m. ad - re - zu"/>
    <w:basedOn w:val="Normal"/>
    <w:next w:val="Normal"/>
    <w:qFormat/>
    <w:pPr>
      <w:numPr>
        <w:ilvl w:val="0"/>
        <w:numId w:val="3"/>
      </w:numPr>
      <w:spacing w:before="0" w:after="300"/>
    </w:pPr>
    <w:rPr>
      <w:u w:val="single"/>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KMdok.dot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2000-04-14T12:32:00Z</dcterms:created>
  <dc:creator>Sekretær Navn</dc:creator>
  <dc:description/>
  <dc:language>en-CA</dc:language>
  <cp:lastModifiedBy>Rita Bruun Løve</cp:lastModifiedBy>
  <cp:lastPrinted>2000-05-31T18:41:00Z</cp:lastPrinted>
  <dcterms:modified xsi:type="dcterms:W3CDTF">2000-05-31T14:11:00Z</dcterms:modified>
  <cp:revision>10</cp:revision>
  <dc:subject/>
  <dc:title>Protokollat - K&amp;M København og Århus</dc:title>
</cp:coreProperties>
</file>