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8640" w:leader="none"/>
        </w:tabs>
        <w:ind w:end="-90"/>
        <w:jc w:val="start"/>
        <w:rPr>
          <w:sz w:val="18"/>
        </w:rPr>
      </w:pPr>
      <w:r>
        <w:rPr>
          <w:sz w:val="18"/>
        </w:rPr>
      </w:r>
    </w:p>
    <w:p>
      <w:pPr>
        <w:pStyle w:val="BodyText"/>
        <w:rPr>
          <w:b/>
          <w:sz w:val="28"/>
        </w:rPr>
      </w:pPr>
      <w:r>
        <mc:AlternateContent>
          <mc:Choice Requires="wps">
            <w:drawing>
              <wp:anchor behindDoc="0" distT="0" distB="0" distL="114935" distR="114935" simplePos="0" locked="0" layoutInCell="1" allowOverlap="1" relativeHeight="3">
                <wp:simplePos x="0" y="0"/>
                <wp:positionH relativeFrom="column">
                  <wp:posOffset>-320040</wp:posOffset>
                </wp:positionH>
                <wp:positionV relativeFrom="paragraph">
                  <wp:posOffset>77470</wp:posOffset>
                </wp:positionV>
                <wp:extent cx="7040880" cy="8412480"/>
                <wp:effectExtent l="38100" t="38100" r="38100" b="38100"/>
                <wp:wrapNone/>
                <wp:docPr id="1" name=""/>
                <a:graphic xmlns:a="http://schemas.openxmlformats.org/drawingml/2006/main">
                  <a:graphicData uri="http://schemas.microsoft.com/office/word/2010/wordprocessingShape">
                    <wps:wsp>
                      <wps:cNvSpPr/>
                      <wps:spPr>
                        <a:xfrm>
                          <a:off x="0" y="0"/>
                          <a:ext cx="7040880" cy="8412480"/>
                        </a:xfrm>
                        <a:prstGeom prst="rect">
                          <a:avLst/>
                        </a:prstGeom>
                        <a:noFill/>
                        <a:ln w="7632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5.2pt;margin-top:6.1pt;width:554.35pt;height:662.35pt;mso-wrap-style:none;v-text-anchor:middle">
                <v:fill o:detectmouseclick="t" on="false"/>
                <v:stroke color="black" weight="76320" joinstyle="miter" endcap="flat"/>
                <w10:wrap type="none"/>
              </v:rect>
            </w:pict>
          </mc:Fallback>
        </mc:AlternateContent>
      </w:r>
      <w:r>
        <w:rPr>
          <w:b/>
          <w:sz w:val="28"/>
        </w:rPr>
        <w:tab/>
        <w:tab/>
        <w:tab/>
        <w:tab/>
        <w:tab/>
        <w:tab/>
        <w:tab/>
        <w:tab/>
        <w:tab/>
      </w:r>
    </w:p>
    <w:p>
      <w:pPr>
        <w:pStyle w:val="BodyText"/>
        <w:rPr>
          <w:b/>
          <w:sz w:val="26"/>
        </w:rPr>
      </w:pPr>
      <w:r>
        <w:rPr>
          <w:b/>
          <w:sz w:val="26"/>
        </w:rPr>
        <w:t xml:space="preserve">You are cordially invited to attend an informational dinner to </w:t>
      </w:r>
    </w:p>
    <w:p>
      <w:pPr>
        <w:pStyle w:val="BodyText"/>
        <w:rPr>
          <w:b/>
          <w:sz w:val="26"/>
        </w:rPr>
      </w:pPr>
      <w:r>
        <w:rPr>
          <w:b/>
          <w:sz w:val="26"/>
        </w:rPr>
        <w:t>learn more about</w:t>
      </w:r>
    </w:p>
    <w:p>
      <w:pPr>
        <w:pStyle w:val="BodyText"/>
        <w:rPr>
          <w:b/>
          <w:sz w:val="24"/>
        </w:rPr>
      </w:pPr>
      <w:r>
        <w:rPr>
          <w:b/>
          <w:sz w:val="24"/>
        </w:rPr>
      </w:r>
    </w:p>
    <w:p>
      <w:pPr>
        <w:pStyle w:val="BodyText"/>
        <w:rPr>
          <w:b/>
          <w:i/>
          <w:i/>
          <w:color w:val="000080"/>
          <w:sz w:val="24"/>
        </w:rPr>
      </w:pPr>
      <w:r>
        <w:rPr>
          <w:b/>
          <w:i/>
          <w:color w:val="000080"/>
          <w:sz w:val="30"/>
        </w:rPr>
        <w:t>Tishman Speyer/Travelers Real Estate Funds</w:t>
        <w:br/>
      </w:r>
    </w:p>
    <w:p>
      <w:pPr>
        <w:pStyle w:val="BodyText"/>
        <w:rPr>
          <w:i/>
          <w:i/>
          <w:sz w:val="26"/>
        </w:rPr>
      </w:pPr>
      <w:r>
        <w:rPr>
          <w:b/>
          <w:sz w:val="26"/>
        </w:rPr>
        <w:t>Featuring</w:t>
      </w:r>
    </w:p>
    <w:p>
      <w:pPr>
        <w:pStyle w:val="BodyText"/>
        <w:rPr>
          <w:b/>
          <w:i/>
          <w:i/>
          <w:sz w:val="24"/>
        </w:rPr>
      </w:pPr>
      <w:r>
        <w:rPr>
          <w:b/>
          <w:i/>
          <w:sz w:val="24"/>
        </w:rPr>
      </w:r>
    </w:p>
    <w:p>
      <w:pPr>
        <w:pStyle w:val="BodyText"/>
        <w:rPr>
          <w:b/>
          <w:i/>
          <w:i/>
          <w:color w:val="000080"/>
          <w:sz w:val="30"/>
        </w:rPr>
      </w:pPr>
      <w:r>
        <w:rPr>
          <w:b/>
          <w:i/>
          <w:color w:val="000080"/>
          <w:sz w:val="30"/>
        </w:rPr>
        <w:t xml:space="preserve">Steven R. Wechsler, Senior Managing Director </w:t>
      </w:r>
    </w:p>
    <w:p>
      <w:pPr>
        <w:pStyle w:val="BodyText"/>
        <w:rPr>
          <w:b/>
          <w:i/>
          <w:i/>
          <w:color w:val="000080"/>
          <w:sz w:val="30"/>
        </w:rPr>
      </w:pPr>
      <w:r>
        <w:rPr>
          <w:b/>
          <w:i/>
          <w:color w:val="000080"/>
          <w:sz w:val="30"/>
        </w:rPr>
        <w:t xml:space="preserve">Tishman Speyer Properties </w:t>
      </w:r>
    </w:p>
    <w:p>
      <w:pPr>
        <w:pStyle w:val="BodyText"/>
        <w:rPr>
          <w:b/>
          <w:i/>
          <w:i/>
          <w:color w:val="000080"/>
          <w:sz w:val="24"/>
        </w:rPr>
      </w:pPr>
      <w:r>
        <w:rPr>
          <w:b/>
          <w:i/>
          <w:color w:val="000080"/>
          <w:sz w:val="24"/>
        </w:rPr>
      </w:r>
    </w:p>
    <w:p>
      <w:pPr>
        <w:pStyle w:val="BodyText"/>
        <w:rPr>
          <w:i/>
          <w:i/>
          <w:sz w:val="24"/>
        </w:rPr>
      </w:pPr>
      <w:r>
        <w:rPr>
          <w:i/>
          <w:sz w:val="24"/>
        </w:rPr>
        <w:t>Wednesday, October 17, 2001</w:t>
      </w:r>
    </w:p>
    <w:p>
      <w:pPr>
        <w:pStyle w:val="BodyText"/>
        <w:rPr>
          <w:i/>
          <w:i/>
          <w:sz w:val="24"/>
        </w:rPr>
      </w:pPr>
      <w:r>
        <w:rPr>
          <w:i/>
          <w:sz w:val="24"/>
        </w:rPr>
        <w:t>III Forks</w:t>
      </w:r>
    </w:p>
    <w:p>
      <w:pPr>
        <w:pStyle w:val="BodyText"/>
        <w:rPr>
          <w:i/>
          <w:i/>
          <w:sz w:val="24"/>
        </w:rPr>
      </w:pPr>
      <w:r>
        <w:rPr>
          <w:i/>
          <w:sz w:val="24"/>
        </w:rPr>
        <w:t>17776 Dallas Parkway, Dallas, Texas 75287</w:t>
      </w:r>
    </w:p>
    <w:p>
      <w:pPr>
        <w:pStyle w:val="BodyText"/>
        <w:rPr>
          <w:i/>
          <w:i/>
          <w:sz w:val="24"/>
        </w:rPr>
      </w:pPr>
      <w:r>
        <w:rPr>
          <w:i/>
          <w:sz w:val="24"/>
        </w:rPr>
        <w:t>6:30 p.m.</w:t>
      </w:r>
    </w:p>
    <w:p>
      <w:pPr>
        <w:pStyle w:val="BodyText"/>
        <w:rPr>
          <w:i/>
          <w:i/>
          <w:sz w:val="24"/>
        </w:rPr>
      </w:pPr>
      <w:r>
        <w:rPr>
          <w:i/>
          <w:sz w:val="24"/>
        </w:rPr>
      </w:r>
    </w:p>
    <w:p>
      <w:pPr>
        <w:pStyle w:val="BodyText"/>
        <w:rPr>
          <w:b/>
          <w:i/>
          <w:i/>
          <w:color w:val="000080"/>
          <w:sz w:val="30"/>
        </w:rPr>
      </w:pPr>
      <w:r>
        <w:rPr>
          <w:b/>
          <w:i/>
          <w:color w:val="000080"/>
          <w:sz w:val="30"/>
        </w:rPr>
        <w:t>Access a winning combination in these uncertain markets!</w:t>
      </w:r>
    </w:p>
    <w:p>
      <w:pPr>
        <w:pStyle w:val="BodyText"/>
        <w:rPr>
          <w:b/>
          <w:i/>
          <w:i/>
          <w:color w:val="000000"/>
          <w:sz w:val="24"/>
        </w:rPr>
      </w:pPr>
      <w:r>
        <w:rPr>
          <w:b/>
          <w:i/>
          <w:color w:val="000000"/>
          <w:sz w:val="24"/>
        </w:rPr>
      </w:r>
    </w:p>
    <w:p>
      <w:pPr>
        <w:pStyle w:val="BodyText"/>
        <w:tabs>
          <w:tab w:val="clear" w:pos="720"/>
          <w:tab w:val="left" w:pos="9270" w:leader="none"/>
        </w:tabs>
        <w:ind w:hanging="360" w:start="360" w:end="270"/>
        <w:rPr>
          <w:b/>
          <w:i/>
          <w:i/>
          <w:color w:val="000000"/>
          <w:sz w:val="24"/>
        </w:rPr>
      </w:pPr>
      <w:r>
        <w:rPr>
          <w:i/>
          <w:sz w:val="24"/>
        </w:rPr>
        <w:t>The  Tishman Speyer/Travelers Real Estate Funds (the "Funds") will invest in Tishman Speyer/Travelers U.S. Real Estate Venture V, L.P. and Tishman Speyer/Travelers International Real Estate Venture V, L.P. (the "Ventures"), respectively.</w:t>
      </w:r>
    </w:p>
    <w:p>
      <w:pPr>
        <w:pStyle w:val="BodyText"/>
        <w:jc w:val="start"/>
        <w:rPr>
          <w:b/>
          <w:i/>
          <w:i/>
          <w:color w:val="000000"/>
          <w:sz w:val="24"/>
        </w:rPr>
      </w:pPr>
      <w:r>
        <w:rPr>
          <w:b/>
          <w:i/>
          <w:color w:val="000000"/>
          <w:sz w:val="24"/>
        </w:rPr>
      </w:r>
    </w:p>
    <w:p>
      <w:pPr>
        <w:pStyle w:val="BodyText"/>
        <w:numPr>
          <w:ilvl w:val="0"/>
          <w:numId w:val="2"/>
        </w:numPr>
        <w:jc w:val="start"/>
        <w:rPr>
          <w:color w:val="000000"/>
          <w:sz w:val="24"/>
        </w:rPr>
      </w:pPr>
      <w:r>
        <w:rPr>
          <w:b/>
          <w:color w:val="000000"/>
          <w:sz w:val="24"/>
        </w:rPr>
        <w:t>A Proven Winner</w:t>
      </w:r>
      <w:r>
        <w:rPr>
          <w:color w:val="000000"/>
          <w:sz w:val="24"/>
        </w:rPr>
        <w:t xml:space="preserve"> - Tishman Speyer has produced an estimated 25.5% gross internal rate of return ("IRR") on all investments over the past 23 years.</w:t>
      </w:r>
      <w:r>
        <w:rPr>
          <w:color w:val="000000"/>
          <w:sz w:val="24"/>
          <w:vertAlign w:val="superscript"/>
        </w:rPr>
        <w:t>1</w:t>
      </w:r>
    </w:p>
    <w:p>
      <w:pPr>
        <w:pStyle w:val="BodyText"/>
        <w:numPr>
          <w:ilvl w:val="0"/>
          <w:numId w:val="2"/>
        </w:numPr>
        <w:jc w:val="start"/>
        <w:rPr>
          <w:color w:val="000000"/>
          <w:sz w:val="24"/>
        </w:rPr>
      </w:pPr>
      <w:r>
        <w:rPr>
          <w:b/>
          <w:color w:val="000000"/>
          <w:sz w:val="24"/>
        </w:rPr>
        <w:t>Diversification</w:t>
      </w:r>
      <w:r>
        <w:rPr>
          <w:color w:val="000000"/>
          <w:sz w:val="24"/>
        </w:rPr>
        <w:t xml:space="preserve"> - Historically, real estate has low correlation to the public stock and bond markets.</w:t>
      </w:r>
    </w:p>
    <w:p>
      <w:pPr>
        <w:pStyle w:val="BodyText"/>
        <w:numPr>
          <w:ilvl w:val="0"/>
          <w:numId w:val="2"/>
        </w:numPr>
        <w:jc w:val="start"/>
        <w:rPr>
          <w:i/>
          <w:i/>
          <w:color w:val="000000"/>
          <w:sz w:val="24"/>
        </w:rPr>
      </w:pPr>
      <w:r>
        <w:rPr>
          <w:b/>
          <w:color w:val="000000"/>
          <w:sz w:val="24"/>
        </w:rPr>
        <w:t>Strong Sponsorship</w:t>
      </w:r>
      <w:r>
        <w:rPr>
          <w:color w:val="000000"/>
          <w:sz w:val="24"/>
        </w:rPr>
        <w:t xml:space="preserve"> - Citigroup Investments and Tishman Speyer, the sponsors of the Ventures, will commit up to $150 million!</w:t>
      </w:r>
    </w:p>
    <w:p>
      <w:pPr>
        <w:pStyle w:val="BodyText"/>
        <w:jc w:val="start"/>
        <w:rPr>
          <w:i/>
          <w:i/>
          <w:color w:val="000000"/>
          <w:sz w:val="24"/>
        </w:rPr>
      </w:pPr>
      <w:r>
        <w:rPr>
          <w:i/>
          <w:color w:val="000000"/>
          <w:sz w:val="24"/>
        </w:rPr>
      </w:r>
    </w:p>
    <w:p>
      <w:pPr>
        <w:pStyle w:val="BodyText"/>
        <w:jc w:val="start"/>
        <w:rPr>
          <w:sz w:val="24"/>
        </w:rPr>
      </w:pPr>
      <w:r>
        <w:rPr>
          <w:sz w:val="24"/>
        </w:rPr>
        <w:t>The Ventures will acquire real estate throughout the United States, Europe and Latin America and will seek to create value through development, redevelopment and/or repositioning primarily commercial office, mixed use and residential assets.  The Ventures will target gross IRRs in excess of 20%,although there can be no assurance that such a return can be achieved.</w:t>
      </w:r>
    </w:p>
    <w:p>
      <w:pPr>
        <w:pStyle w:val="BodyText"/>
        <w:jc w:val="start"/>
        <w:rPr>
          <w:i/>
          <w:i/>
          <w:sz w:val="24"/>
        </w:rPr>
      </w:pPr>
      <w:r>
        <w:rPr>
          <w:i/>
          <w:sz w:val="24"/>
        </w:rPr>
      </w:r>
    </w:p>
    <w:p>
      <w:pPr>
        <w:pStyle w:val="BodyText"/>
        <w:rPr>
          <w:b/>
          <w:sz w:val="24"/>
        </w:rPr>
      </w:pPr>
      <w:r>
        <w:rPr>
          <w:b/>
          <w:sz w:val="24"/>
        </w:rPr>
        <w:t>RSVP required by 10/15/2001</w:t>
      </w:r>
    </w:p>
    <w:p>
      <w:pPr>
        <w:pStyle w:val="BodyText"/>
        <w:rPr>
          <w:b/>
          <w:sz w:val="24"/>
        </w:rPr>
      </w:pPr>
      <w:r>
        <w:rPr>
          <w:b/>
          <w:sz w:val="24"/>
        </w:rPr>
        <w:t xml:space="preserve">Please call </w:t>
        <w:br/>
        <w:t>Pauline Stevens at 214-661-7102</w:t>
      </w:r>
    </w:p>
    <w:p>
      <w:pPr>
        <w:pStyle w:val="BodyText"/>
        <w:rPr>
          <w:b/>
          <w:sz w:val="24"/>
        </w:rPr>
      </w:pPr>
      <w:r>
        <w:rPr>
          <w:b/>
          <w:sz w:val="24"/>
        </w:rPr>
      </w:r>
    </w:p>
    <w:p>
      <w:pPr>
        <w:pStyle w:val="BodyText"/>
        <w:rPr>
          <w:sz w:val="24"/>
          <w:lang w:val="en-CA"/>
        </w:rPr>
      </w:pPr>
      <w:r>
        <w:rPr>
          <w:sz w:val="24"/>
          <w:lang w:val="en-CA"/>
        </w:rPr>
        <w:drawing>
          <wp:anchor behindDoc="0" distT="0" distB="0" distL="114935" distR="114935" simplePos="0" locked="0" layoutInCell="1" allowOverlap="1" relativeHeight="2">
            <wp:simplePos x="0" y="0"/>
            <wp:positionH relativeFrom="column">
              <wp:posOffset>1965960</wp:posOffset>
            </wp:positionH>
            <wp:positionV relativeFrom="paragraph">
              <wp:posOffset>56515</wp:posOffset>
            </wp:positionV>
            <wp:extent cx="2423160" cy="42164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8" t="-48" r="-8" b="-48"/>
                    <a:stretch>
                      <a:fillRect/>
                    </a:stretch>
                  </pic:blipFill>
                  <pic:spPr bwMode="auto">
                    <a:xfrm>
                      <a:off x="0" y="0"/>
                      <a:ext cx="2423160" cy="421640"/>
                    </a:xfrm>
                    <a:prstGeom prst="rect">
                      <a:avLst/>
                    </a:prstGeom>
                    <a:noFill/>
                  </pic:spPr>
                </pic:pic>
              </a:graphicData>
            </a:graphic>
          </wp:anchor>
        </w:drawing>
      </w:r>
    </w:p>
    <w:p>
      <w:pPr>
        <w:pStyle w:val="BodyText"/>
        <w:rPr/>
      </w:pPr>
      <w:r>
        <w:rPr/>
      </w:r>
    </w:p>
    <w:p>
      <w:pPr>
        <w:pStyle w:val="BodyText"/>
        <w:rPr/>
      </w:pPr>
      <w:r>
        <w:rPr/>
      </w:r>
    </w:p>
    <w:p>
      <w:pPr>
        <w:pStyle w:val="BodyText"/>
        <w:rPr/>
      </w:pPr>
      <w:r>
        <w:rPr/>
      </w:r>
    </w:p>
    <w:p>
      <w:pPr>
        <w:pStyle w:val="BodyText"/>
        <w:rPr/>
      </w:pPr>
      <w:r>
        <w:rPr/>
        <w:t>Member NASD, SIPC</w:t>
      </w:r>
    </w:p>
    <w:p>
      <w:pPr>
        <w:pStyle w:val="BodyText"/>
        <w:rPr/>
      </w:pPr>
      <w:r>
        <w:rPr/>
      </w:r>
    </w:p>
    <w:p>
      <w:pPr>
        <w:pStyle w:val="Text1"/>
        <w:spacing w:before="0" w:after="0"/>
        <w:ind w:hanging="0" w:end="0"/>
        <w:rPr/>
      </w:pPr>
      <w:r>
        <w:rPr>
          <w:i/>
          <w:sz w:val="16"/>
          <w:vertAlign w:val="superscript"/>
        </w:rPr>
        <w:t>1</w:t>
      </w:r>
      <w:r>
        <w:rPr>
          <w:i/>
          <w:sz w:val="16"/>
        </w:rPr>
        <w:t xml:space="preserve">As of December 31, 2000. Estimated by Tishman Speyer Properties.  Past performance is not necessarily indicative of future results and there can be no assurance that the Funds' respective investment strategies will be successful or generate comparable returns.  IRR information is calculated at the property level and does not include any fees or carried interest payments associated with an investment fund structure.  The Funds are speculative investments and entail significant risks, which are described in the Funds' Confidential Private Offering Memorandum.  Each investor must have the ability to bear the risk of loss of its entire investment. </w:t>
        <w:tab/>
        <w:tab/>
      </w:r>
    </w:p>
    <w:sectPr>
      <w:type w:val="nextPage"/>
      <w:pgSz w:w="12240" w:h="15840"/>
      <w:pgMar w:left="1080" w:right="900" w:gutter="0" w:header="0" w:top="108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ext1">
    <w:name w:val="Text 1"/>
    <w:basedOn w:val="Normal"/>
    <w:qFormat/>
    <w:pPr>
      <w:spacing w:before="0" w:after="240"/>
      <w:ind w:firstLine="1440" w:start="0" w:end="0"/>
      <w:jc w:val="both"/>
    </w:pPr>
    <w:rPr>
      <w:sz w:val="24"/>
    </w:rPr>
  </w:style>
  <w:style w:type="paragraph" w:styleId="BodyText2">
    <w:name w:val="Body Text 2"/>
    <w:basedOn w:val="Normal"/>
    <w:qFormat/>
    <w:pPr/>
    <w:rPr>
      <w:sz w:val="2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2001-10-04T17:26:00Z</dcterms:created>
  <dc:creator>ajavar23</dc:creator>
  <dc:description/>
  <dc:language>en-CA</dc:language>
  <cp:lastModifiedBy>William R Schriber</cp:lastModifiedBy>
  <cp:lastPrinted>2001-08-13T12:52:00Z</cp:lastPrinted>
  <dcterms:modified xsi:type="dcterms:W3CDTF">2001-10-05T12:26:00Z</dcterms:modified>
  <cp:revision>4</cp:revision>
  <dc:subject/>
  <dc:title>Smith Barney Alternative Investments Group </dc:title>
</cp:coreProperties>
</file>