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2"/>
        </w:rPr>
      </w:pPr>
      <w:r>
        <w:rPr>
          <w:sz w:val="22"/>
        </w:rPr>
        <w:t>Daily Update on ENE</w:t>
      </w:r>
    </w:p>
    <w:p>
      <w:pPr>
        <w:pStyle w:val="Heading1"/>
        <w:ind w:hanging="0" w:start="0"/>
        <w:jc w:val="center"/>
        <w:rPr>
          <w:sz w:val="22"/>
        </w:rPr>
      </w:pPr>
      <w:r>
        <w:rPr>
          <w:sz w:val="22"/>
        </w:rPr>
        <w:t>26 October 2001</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2"/>
        <w:ind w:hanging="0" w:start="0"/>
        <w:rPr>
          <w:sz w:val="22"/>
        </w:rPr>
      </w:pPr>
      <w:r>
        <w:rPr>
          <w:sz w:val="22"/>
        </w:rPr>
        <w:t>Enron Corp. Announcements</w:t>
      </w:r>
    </w:p>
    <w:p>
      <w:pPr>
        <w:pStyle w:val="Normal"/>
        <w:rPr>
          <w:sz w:val="22"/>
        </w:rPr>
      </w:pPr>
      <w:r>
        <w:rPr>
          <w:sz w:val="22"/>
        </w:rPr>
      </w:r>
    </w:p>
    <w:p>
      <w:pPr>
        <w:pStyle w:val="Normal"/>
        <w:rPr>
          <w:sz w:val="22"/>
        </w:rPr>
      </w:pPr>
      <w:r>
        <w:rPr>
          <w:sz w:val="22"/>
        </w:rPr>
        <w:t>In a move to highlight that it is very much a case of “business as usual” for Enron, we issued a press release yesterday on the record trading activity we have been seeing with our wholesale business.   Enron remains the market maker of choice with our customers sending clear signals that we are the major liquidity source in the global energy markets.</w:t>
      </w:r>
    </w:p>
    <w:p>
      <w:pPr>
        <w:pStyle w:val="Normal"/>
        <w:rPr>
          <w:sz w:val="22"/>
        </w:rPr>
      </w:pPr>
      <w:r>
        <w:rPr>
          <w:sz w:val="22"/>
        </w:rPr>
      </w:r>
    </w:p>
    <w:p>
      <w:pPr>
        <w:pStyle w:val="Normal"/>
        <w:rPr>
          <w:sz w:val="22"/>
        </w:rPr>
      </w:pPr>
      <w:r>
        <w:rPr>
          <w:sz w:val="22"/>
        </w:rPr>
        <w:t xml:space="preserve">The release also notes that we have taken steps to dispel fears about the business by drawing upon our committed lines of credit to provide cash liquidity.  </w:t>
      </w:r>
    </w:p>
    <w:p>
      <w:pPr>
        <w:pStyle w:val="Normal"/>
        <w:rPr>
          <w:sz w:val="22"/>
        </w:rPr>
      </w:pPr>
      <w:r>
        <w:rPr>
          <w:sz w:val="22"/>
        </w:rPr>
      </w:r>
    </w:p>
    <w:p>
      <w:pPr>
        <w:pStyle w:val="Normal"/>
        <w:rPr>
          <w:sz w:val="22"/>
        </w:rPr>
      </w:pPr>
      <w:r>
        <w:rPr>
          <w:sz w:val="22"/>
        </w:rPr>
        <w:t xml:space="preserve">For the full press release, please go to:  </w:t>
      </w:r>
      <w:hyperlink r:id="rId2">
        <w:r>
          <w:rPr>
            <w:rStyle w:val="Hyperlink"/>
            <w:sz w:val="22"/>
          </w:rPr>
          <w:t>http://www.enron.com/corp/pressroom/</w:t>
        </w:r>
      </w:hyperlink>
    </w:p>
    <w:p>
      <w:pPr>
        <w:pStyle w:val="Normal"/>
        <w:rPr>
          <w:sz w:val="22"/>
        </w:rPr>
      </w:pPr>
      <w:r>
        <w:rPr>
          <w:sz w:val="22"/>
        </w:rPr>
      </w:r>
    </w:p>
    <w:p>
      <w:pPr>
        <w:pStyle w:val="Heading2"/>
        <w:ind w:hanging="0" w:start="0"/>
        <w:rPr>
          <w:sz w:val="22"/>
        </w:rPr>
      </w:pPr>
      <w:r>
        <w:rPr>
          <w:sz w:val="22"/>
        </w:rPr>
      </w:r>
    </w:p>
    <w:p>
      <w:pPr>
        <w:pStyle w:val="Heading2"/>
        <w:ind w:hanging="0" w:start="0"/>
        <w:rPr>
          <w:sz w:val="22"/>
        </w:rPr>
      </w:pPr>
      <w:r>
        <w:rPr>
          <w:sz w:val="22"/>
        </w:rPr>
        <w:t>Commentary from the Financial Community</w:t>
      </w:r>
    </w:p>
    <w:p>
      <w:pPr>
        <w:pStyle w:val="Normal"/>
        <w:rPr>
          <w:sz w:val="22"/>
        </w:rPr>
      </w:pPr>
      <w:r>
        <w:rPr>
          <w:sz w:val="22"/>
        </w:rPr>
      </w:r>
    </w:p>
    <w:p>
      <w:pPr>
        <w:pStyle w:val="Heading3"/>
        <w:ind w:hanging="0" w:start="0"/>
        <w:rPr>
          <w:b/>
          <w:bCs/>
          <w:i w:val="false"/>
          <w:i w:val="false"/>
          <w:iCs w:val="false"/>
          <w:sz w:val="22"/>
        </w:rPr>
      </w:pPr>
      <w:r>
        <w:rPr>
          <w:b/>
          <w:bCs/>
          <w:sz w:val="22"/>
        </w:rPr>
        <w:t>Fitch Puts Enron on Rating Watch Negative</w:t>
      </w:r>
    </w:p>
    <w:p>
      <w:pPr>
        <w:pStyle w:val="Normal"/>
        <w:rPr>
          <w:b/>
          <w:bCs/>
          <w:sz w:val="22"/>
        </w:rPr>
      </w:pPr>
      <w:r>
        <w:rPr>
          <w:b/>
          <w:bCs/>
          <w:sz w:val="22"/>
        </w:rPr>
        <w:t>Bloomberg, 25-10-01</w:t>
      </w:r>
    </w:p>
    <w:p>
      <w:pPr>
        <w:pStyle w:val="Normal"/>
        <w:rPr>
          <w:sz w:val="22"/>
        </w:rPr>
      </w:pPr>
      <w:r>
        <w:rPr>
          <w:sz w:val="22"/>
        </w:rPr>
        <w:t>“</w:t>
      </w:r>
      <w:r>
        <w:rPr>
          <w:sz w:val="22"/>
        </w:rPr>
        <w:t>While capital market uncertainties have escalated, Fitch has no information to indicate there are any fundamental problems with Enron’s core wholesale, retail and pipeline businesses.”</w:t>
      </w:r>
    </w:p>
    <w:p>
      <w:pPr>
        <w:pStyle w:val="Heading2"/>
        <w:ind w:hanging="0" w:start="0"/>
        <w:rPr>
          <w:b w:val="false"/>
          <w:bCs w:val="false"/>
          <w:sz w:val="22"/>
          <w:u w:val="none"/>
        </w:rPr>
      </w:pPr>
      <w:r>
        <w:rPr>
          <w:b w:val="false"/>
          <w:bCs w:val="false"/>
          <w:sz w:val="22"/>
          <w:u w:val="none"/>
        </w:rPr>
      </w:r>
    </w:p>
    <w:p>
      <w:pPr>
        <w:pStyle w:val="Heading2"/>
        <w:ind w:hanging="0" w:start="0"/>
        <w:rPr>
          <w:i/>
          <w:i/>
          <w:iCs/>
          <w:sz w:val="22"/>
          <w:u w:val="none"/>
        </w:rPr>
      </w:pPr>
      <w:r>
        <w:rPr>
          <w:i/>
          <w:iCs/>
          <w:sz w:val="22"/>
          <w:u w:val="none"/>
        </w:rPr>
        <w:t>Enron Corp Outlook Now Negative By S&amp;P</w:t>
      </w:r>
    </w:p>
    <w:p>
      <w:pPr>
        <w:pStyle w:val="Heading2"/>
        <w:ind w:hanging="0" w:start="0"/>
        <w:rPr>
          <w:sz w:val="22"/>
          <w:u w:val="none"/>
        </w:rPr>
      </w:pPr>
      <w:r>
        <w:rPr>
          <w:sz w:val="22"/>
          <w:u w:val="none"/>
        </w:rPr>
        <w:t>Standard &amp; Poor’s Press Release, 25-10-01</w:t>
      </w:r>
    </w:p>
    <w:p>
      <w:pPr>
        <w:pStyle w:val="Normal"/>
        <w:rPr>
          <w:sz w:val="22"/>
        </w:rPr>
      </w:pPr>
      <w:r>
        <w:rPr>
          <w:sz w:val="22"/>
        </w:rPr>
        <w:t>“</w:t>
      </w:r>
      <w:r>
        <w:rPr>
          <w:sz w:val="22"/>
        </w:rPr>
        <w:t>Standard &amp; Poor’s today affirmed its ratings on Enron Corp (triple-‘B’-plus/’A-2’) and subsidiaries and revised its long-term ratings outlook to negative due to concerns that the significant drop in market capitalisation in the past week has adversely affected the company’s financial flexibility and could impede management’s ability to pursue plans to rebuild its balance sheet.”</w:t>
      </w:r>
    </w:p>
    <w:p>
      <w:pPr>
        <w:pStyle w:val="Heading2"/>
        <w:ind w:hanging="0" w:start="0"/>
        <w:rPr>
          <w:sz w:val="22"/>
        </w:rPr>
      </w:pPr>
      <w:r>
        <w:rPr>
          <w:sz w:val="22"/>
        </w:rPr>
      </w:r>
    </w:p>
    <w:p>
      <w:pPr>
        <w:pStyle w:val="Normal"/>
        <w:rPr>
          <w:sz w:val="22"/>
        </w:rPr>
      </w:pPr>
      <w:r>
        <w:rPr>
          <w:sz w:val="22"/>
        </w:rPr>
        <w:t>“</w:t>
      </w:r>
      <w:r>
        <w:rPr>
          <w:sz w:val="22"/>
        </w:rPr>
        <w:t>Despite the negative outlook, several factors supportive of Enron’s credit quality have sustained throughout the uncertainty surrounding the company.  The fundamental strength of Enron’s energy marketing and trading franchise has remained steady.  Standard and Poor’s had detected no lapses in company’s risk management practices and trading discipline.  No significant deterioration in trading volumes or willingness of counterparties to transact with Enron has been revealed to Standard and Poor’s in contacts with major energy market participants.”</w:t>
      </w:r>
    </w:p>
    <w:p>
      <w:pPr>
        <w:pStyle w:val="Normal"/>
        <w:rPr>
          <w:sz w:val="22"/>
        </w:rPr>
      </w:pPr>
      <w:r>
        <w:rPr>
          <w:sz w:val="22"/>
        </w:rPr>
      </w:r>
    </w:p>
    <w:p>
      <w:pPr>
        <w:pStyle w:val="Normal"/>
        <w:rPr>
          <w:sz w:val="22"/>
        </w:rPr>
      </w:pPr>
      <w:r>
        <w:rPr>
          <w:sz w:val="22"/>
        </w:rPr>
        <w:t>“</w:t>
      </w:r>
      <w:r>
        <w:rPr>
          <w:sz w:val="22"/>
        </w:rPr>
        <w:t>Morever, the strategic direction of the company is likely to become more credit-positive in the wake of recent management changes.”</w:t>
      </w:r>
    </w:p>
    <w:p>
      <w:pPr>
        <w:pStyle w:val="Heading2"/>
        <w:ind w:hanging="0" w:start="0"/>
        <w:rPr>
          <w:sz w:val="22"/>
        </w:rPr>
      </w:pPr>
      <w:r>
        <w:rPr>
          <w:sz w:val="22"/>
        </w:rPr>
      </w:r>
    </w:p>
    <w:p>
      <w:pPr>
        <w:pStyle w:val="Heading3"/>
        <w:ind w:hanging="0" w:start="0"/>
        <w:rPr>
          <w:b/>
          <w:bCs/>
        </w:rPr>
      </w:pPr>
      <w:r>
        <w:rPr>
          <w:b/>
          <w:bCs/>
        </w:rPr>
        <w:t>Money Gang</w:t>
      </w:r>
    </w:p>
    <w:p>
      <w:pPr>
        <w:pStyle w:val="Normal"/>
        <w:rPr>
          <w:b/>
          <w:bCs/>
        </w:rPr>
      </w:pPr>
      <w:r>
        <w:rPr>
          <w:b/>
          <w:bCs/>
        </w:rPr>
        <w:t>CNNfn, Co-Anchor, Ali Velshi, Speaking with Curt Launer, CSFB</w:t>
      </w:r>
    </w:p>
    <w:p>
      <w:pPr>
        <w:pStyle w:val="Normal"/>
        <w:autoSpaceDE w:val="false"/>
        <w:rPr/>
      </w:pPr>
      <w:r>
        <w:rPr>
          <w:sz w:val="22"/>
        </w:rPr>
        <w:t>“</w:t>
      </w:r>
      <w:r>
        <w:rPr>
          <w:sz w:val="22"/>
          <w:szCs w:val="20"/>
        </w:rPr>
        <w:t>Well clearly it's had a horrific decline and there are a lot of reasons behind it.  Just the way that it was probably unreal for a lot of reasons for Enron to trade at fifty times earnings a little bit more than a year ago, I think it's equally unreal for it to be trading at about eight times earnings right now.  That was an everything-going-right scenario a year and a little bit ago.  The scenario we have right now is the one that says the price is telling us everything is going to go wrong.  I didn't think that everything was going to go right, nor do I think that everything is going to go wrong at this point.”</w:t>
      </w:r>
    </w:p>
    <w:p>
      <w:pPr>
        <w:pStyle w:val="Normal"/>
        <w:rPr>
          <w:sz w:val="22"/>
          <w:szCs w:val="20"/>
        </w:rPr>
      </w:pPr>
      <w:r>
        <w:rPr>
          <w:sz w:val="22"/>
          <w:szCs w:val="20"/>
        </w:rPr>
      </w:r>
    </w:p>
    <w:p>
      <w:pPr>
        <w:pStyle w:val="Normal"/>
        <w:autoSpaceDE w:val="false"/>
        <w:rPr>
          <w:b/>
          <w:bCs/>
          <w:sz w:val="22"/>
          <w:szCs w:val="20"/>
        </w:rPr>
      </w:pPr>
      <w:r>
        <w:rPr>
          <w:b/>
          <w:bCs/>
          <w:sz w:val="22"/>
          <w:szCs w:val="20"/>
        </w:rPr>
        <w:t>Enron Corp. (“ENE”) Sr. Unsec: BAA1(*-)/BBB+…”Money Good” Investment Grade!  Opportunity Knocks!</w:t>
      </w:r>
    </w:p>
    <w:p>
      <w:pPr>
        <w:pStyle w:val="Heading4"/>
        <w:ind w:hanging="0" w:start="0"/>
        <w:rPr/>
      </w:pPr>
      <w:r>
        <w:rPr/>
        <w:t>ABN Amro, D. Norton, Credit Analyst</w:t>
      </w:r>
    </w:p>
    <w:p>
      <w:pPr>
        <w:pStyle w:val="Normal"/>
        <w:autoSpaceDE w:val="false"/>
        <w:rPr>
          <w:b/>
          <w:bCs/>
          <w:sz w:val="22"/>
          <w:szCs w:val="20"/>
        </w:rPr>
      </w:pPr>
      <w:r>
        <w:rPr>
          <w:b/>
          <w:bCs/>
          <w:sz w:val="22"/>
          <w:szCs w:val="20"/>
        </w:rPr>
      </w:r>
    </w:p>
    <w:p>
      <w:pPr>
        <w:pStyle w:val="BodyText2"/>
        <w:autoSpaceDE w:val="false"/>
        <w:rPr>
          <w:szCs w:val="20"/>
        </w:rPr>
      </w:pPr>
      <w:r>
        <w:rPr>
          <w:szCs w:val="20"/>
        </w:rPr>
        <w:t>“</w:t>
      </w:r>
      <w:r>
        <w:rPr>
          <w:szCs w:val="20"/>
        </w:rPr>
        <w:t>We disagree with the stampede for the exits that has pushed ENE security prices to distress levels.  In our view, the confluence of partial understanding of facts, confusion of remote scenarios with “base case”…and the herd mentality have all contributed to this meltdown.  Pertinent facts do not support disaster.”</w:t>
      </w:r>
    </w:p>
    <w:p>
      <w:pPr>
        <w:pStyle w:val="Normal"/>
        <w:autoSpaceDE w:val="false"/>
        <w:rPr>
          <w:sz w:val="22"/>
          <w:szCs w:val="20"/>
        </w:rPr>
      </w:pPr>
      <w:r>
        <w:rPr>
          <w:sz w:val="22"/>
          <w:szCs w:val="20"/>
        </w:rPr>
      </w:r>
    </w:p>
    <w:p>
      <w:pPr>
        <w:pStyle w:val="Normal"/>
        <w:autoSpaceDE w:val="false"/>
        <w:rPr>
          <w:sz w:val="22"/>
          <w:szCs w:val="20"/>
        </w:rPr>
      </w:pPr>
      <w:r>
        <w:rPr>
          <w:sz w:val="22"/>
          <w:szCs w:val="20"/>
        </w:rPr>
        <w:t>“</w:t>
      </w:r>
      <w:r>
        <w:rPr>
          <w:sz w:val="22"/>
          <w:szCs w:val="20"/>
        </w:rPr>
        <w:t>We see ENE as an investment grade credit with adequate liquidity which, per on main competitor (El Paso) is operating “normally” in its trading markets.  Chances of downgrade below investment grade seems remote, despite panic! Value abounds!”</w:t>
      </w:r>
    </w:p>
    <w:p>
      <w:pPr>
        <w:pStyle w:val="Normal"/>
        <w:autoSpaceDE w:val="false"/>
        <w:rPr>
          <w:rFonts w:ascii="Courier New" w:hAnsi="Courier New" w:cs="Courier New"/>
          <w:sz w:val="20"/>
          <w:szCs w:val="20"/>
        </w:rPr>
      </w:pPr>
      <w:r>
        <w:rPr>
          <w:rFonts w:cs="Courier New" w:ascii="Courier New" w:hAnsi="Courier New"/>
          <w:sz w:val="20"/>
          <w:szCs w:val="20"/>
        </w:rPr>
      </w:r>
    </w:p>
    <w:p>
      <w:pPr>
        <w:pStyle w:val="Heading2"/>
        <w:ind w:hanging="0" w:start="0"/>
        <w:rPr>
          <w:rFonts w:ascii="Courier New" w:hAnsi="Courier New" w:cs="Courier New"/>
          <w:sz w:val="22"/>
          <w:szCs w:val="20"/>
        </w:rPr>
      </w:pPr>
      <w:r>
        <w:rPr>
          <w:rFonts w:cs="Courier New" w:ascii="Courier New" w:hAnsi="Courier New"/>
          <w:sz w:val="22"/>
          <w:szCs w:val="20"/>
        </w:rPr>
      </w:r>
    </w:p>
    <w:p>
      <w:pPr>
        <w:pStyle w:val="Heading2"/>
        <w:ind w:hanging="0" w:start="0"/>
        <w:rPr>
          <w:sz w:val="22"/>
        </w:rPr>
      </w:pPr>
      <w:r>
        <w:rPr>
          <w:sz w:val="22"/>
        </w:rPr>
        <w:t>Commentary from our Competitors</w:t>
      </w:r>
    </w:p>
    <w:p>
      <w:pPr>
        <w:pStyle w:val="Normal"/>
        <w:rPr>
          <w:sz w:val="22"/>
        </w:rPr>
      </w:pPr>
      <w:r>
        <w:rPr>
          <w:sz w:val="22"/>
        </w:rPr>
      </w:r>
    </w:p>
    <w:p>
      <w:pPr>
        <w:pStyle w:val="Heading3"/>
        <w:ind w:hanging="0" w:start="0"/>
        <w:rPr>
          <w:b/>
          <w:bCs/>
          <w:sz w:val="22"/>
        </w:rPr>
      </w:pPr>
      <w:r>
        <w:rPr>
          <w:b/>
          <w:bCs/>
          <w:sz w:val="22"/>
        </w:rPr>
        <w:t>Concerned Energy Companies Make Few Changes in Enron Dealings</w:t>
      </w:r>
    </w:p>
    <w:p>
      <w:pPr>
        <w:pStyle w:val="Normal"/>
        <w:rPr>
          <w:b/>
          <w:bCs/>
          <w:sz w:val="22"/>
        </w:rPr>
      </w:pPr>
      <w:r>
        <w:rPr>
          <w:b/>
          <w:bCs/>
          <w:sz w:val="22"/>
        </w:rPr>
        <w:t>Dow Jones, 25-10-01</w:t>
      </w:r>
    </w:p>
    <w:p>
      <w:pPr>
        <w:pStyle w:val="Normal"/>
        <w:autoSpaceDE w:val="false"/>
        <w:rPr>
          <w:sz w:val="22"/>
        </w:rPr>
      </w:pPr>
      <w:r>
        <w:rPr>
          <w:sz w:val="22"/>
        </w:rPr>
        <w:t>“</w:t>
      </w:r>
      <w:r>
        <w:rPr>
          <w:sz w:val="22"/>
        </w:rPr>
        <w:t xml:space="preserve">We have made no changes to our credit policy concerning Enron," said John Sousa, chief spokesman for Dynegy Inc. (DYN). “It's business as usual.” </w:t>
      </w:r>
    </w:p>
    <w:p>
      <w:pPr>
        <w:pStyle w:val="Normal"/>
        <w:autoSpaceDE w:val="false"/>
        <w:rPr>
          <w:sz w:val="22"/>
        </w:rPr>
      </w:pPr>
      <w:r>
        <w:rPr>
          <w:sz w:val="22"/>
        </w:rPr>
      </w:r>
    </w:p>
    <w:p>
      <w:pPr>
        <w:pStyle w:val="Normal"/>
        <w:autoSpaceDE w:val="false"/>
        <w:rPr>
          <w:sz w:val="22"/>
        </w:rPr>
      </w:pPr>
      <w:r>
        <w:rPr>
          <w:sz w:val="22"/>
        </w:rPr>
        <w:t>“</w:t>
      </w:r>
      <w:r>
        <w:rPr>
          <w:sz w:val="22"/>
        </w:rPr>
        <w:t xml:space="preserve">Williams Cos. (WMB) spokesman Jim Gipson said that his company, too, has made no changes and has no concerns about Enron's credit. Another Top 10 power and gas trading company, Aquila (ILA), has also left Enron credit unchanged.” </w:t>
      </w:r>
    </w:p>
    <w:p>
      <w:pPr>
        <w:pStyle w:val="Normal"/>
        <w:rPr>
          <w:b/>
          <w:bCs/>
          <w:sz w:val="22"/>
        </w:rPr>
      </w:pPr>
      <w:r>
        <w:rPr>
          <w:b/>
          <w:bCs/>
          <w:sz w:val="22"/>
        </w:rPr>
      </w:r>
    </w:p>
    <w:p>
      <w:pPr>
        <w:pStyle w:val="BodyText2"/>
        <w:rPr/>
      </w:pPr>
      <w:r>
        <w:rPr/>
        <w:t>“</w:t>
      </w:r>
      <w:r>
        <w:rPr/>
        <w:t>At this point, there’s no reason for concern,” Sempra spokesman Doug Kline said. “We continue to trade with them.”</w:t>
      </w:r>
    </w:p>
    <w:p>
      <w:pPr>
        <w:pStyle w:val="Normal"/>
        <w:rPr>
          <w:b/>
          <w:bCs/>
          <w:sz w:val="22"/>
        </w:rPr>
      </w:pPr>
      <w:r>
        <w:rPr>
          <w:b/>
          <w:bCs/>
          <w:sz w:val="22"/>
        </w:rPr>
      </w:r>
    </w:p>
    <w:p>
      <w:pPr>
        <w:pStyle w:val="Heading3"/>
        <w:ind w:hanging="0" w:start="0"/>
        <w:rPr>
          <w:b/>
          <w:bCs/>
          <w:sz w:val="22"/>
        </w:rPr>
      </w:pPr>
      <w:r>
        <w:rPr>
          <w:b/>
          <w:bCs/>
          <w:sz w:val="22"/>
        </w:rPr>
        <w:t>Enron’s Trading Partners Say It’s Business As Usual</w:t>
      </w:r>
    </w:p>
    <w:p>
      <w:pPr>
        <w:pStyle w:val="Normal"/>
        <w:rPr>
          <w:b/>
          <w:bCs/>
          <w:sz w:val="22"/>
        </w:rPr>
      </w:pPr>
      <w:r>
        <w:rPr>
          <w:b/>
          <w:bCs/>
          <w:sz w:val="22"/>
        </w:rPr>
        <w:t>Bloomberg, 25-10-01</w:t>
      </w:r>
    </w:p>
    <w:p>
      <w:pPr>
        <w:pStyle w:val="Normal"/>
        <w:autoSpaceDE w:val="false"/>
        <w:rPr>
          <w:sz w:val="22"/>
        </w:rPr>
      </w:pPr>
      <w:r>
        <w:rPr>
          <w:sz w:val="22"/>
        </w:rPr>
        <w:t>“</w:t>
      </w:r>
      <w:r>
        <w:rPr>
          <w:sz w:val="22"/>
        </w:rPr>
        <w:t>Concerns Enron Corp. will run short on cash haven't prevented commodities traders from doing business with the largest energy broker, customers say.”</w:t>
      </w:r>
    </w:p>
    <w:p>
      <w:pPr>
        <w:pStyle w:val="Normal"/>
        <w:autoSpaceDE w:val="false"/>
        <w:rPr>
          <w:sz w:val="22"/>
        </w:rPr>
      </w:pPr>
      <w:r>
        <w:rPr>
          <w:sz w:val="22"/>
        </w:rPr>
      </w:r>
    </w:p>
    <w:p>
      <w:pPr>
        <w:pStyle w:val="Normal"/>
        <w:autoSpaceDE w:val="false"/>
        <w:rPr>
          <w:sz w:val="22"/>
        </w:rPr>
      </w:pPr>
      <w:r>
        <w:rPr>
          <w:sz w:val="22"/>
        </w:rPr>
        <w:t>“</w:t>
      </w:r>
      <w:r>
        <w:rPr>
          <w:sz w:val="22"/>
        </w:rPr>
        <w:t>Enron handles about 25 percent of U.S. power and natural-gas trading, said John Kilduff, vice president of energy risk management for Fimat USA. It's also a leader in complex derivatives that allow others to hedge against the risk of fluctuating commodities prices.”</w:t>
      </w:r>
    </w:p>
    <w:p>
      <w:pPr>
        <w:pStyle w:val="Normal"/>
        <w:autoSpaceDE w:val="false"/>
        <w:rPr>
          <w:sz w:val="22"/>
        </w:rPr>
      </w:pPr>
      <w:r>
        <w:rPr>
          <w:sz w:val="22"/>
        </w:rPr>
      </w:r>
    </w:p>
    <w:p>
      <w:pPr>
        <w:pStyle w:val="Normal"/>
        <w:autoSpaceDE w:val="false"/>
        <w:rPr>
          <w:sz w:val="22"/>
        </w:rPr>
      </w:pPr>
      <w:r>
        <w:rPr>
          <w:sz w:val="22"/>
        </w:rPr>
        <w:t>“</w:t>
      </w:r>
      <w:r>
        <w:rPr>
          <w:sz w:val="22"/>
        </w:rPr>
        <w:t>So far, there are no signs that the Houston-based energy trader, the world's largest, is doing less business, Kilduff said.”</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i/>
      <w:iCs/>
    </w:rPr>
  </w:style>
  <w:style w:type="paragraph" w:styleId="Heading4">
    <w:name w:val="heading 4"/>
    <w:basedOn w:val="Normal"/>
    <w:next w:val="Normal"/>
    <w:qFormat/>
    <w:pPr>
      <w:keepNext w:val="true"/>
      <w:numPr>
        <w:ilvl w:val="3"/>
        <w:numId w:val="1"/>
      </w:numPr>
      <w:autoSpaceDE w:val="false"/>
      <w:outlineLvl w:val="3"/>
    </w:pPr>
    <w:rPr>
      <w:b/>
      <w:bCs/>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corp/pressro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2001-10-26T06:53:00Z</dcterms:created>
  <dc:creator>fgrant</dc:creator>
  <dc:description/>
  <dc:language>en-CA</dc:language>
  <cp:lastModifiedBy>fgrant</cp:lastModifiedBy>
  <cp:lastPrinted>2001-10-26T09:57:00Z</cp:lastPrinted>
  <dcterms:modified xsi:type="dcterms:W3CDTF">2001-10-26T06:55:00Z</dcterms:modified>
  <cp:revision>3</cp:revision>
  <dc:subject/>
  <dc:title>Daily Update on ENE</dc:title>
</cp:coreProperties>
</file>