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31,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Services, Inc.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Services,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Wednesday,</w:t>
      </w:r>
      <w:r>
        <w:rPr>
          <w:b/>
          <w:sz w:val="24"/>
        </w:rPr>
        <w:t xml:space="preserve"> January 2, 2002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$1,074,070.44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12/31/01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$214,814.09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$648,897.19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$865,196.25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$225,208.91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2001-12-31T12:38:00Z</dcterms:created>
  <dc:creator>Cheryl Arnold</dc:creator>
  <dc:description/>
  <dc:language>en-CA</dc:language>
  <cp:lastModifiedBy>Linda A. McDonough</cp:lastModifiedBy>
  <cp:lastPrinted>2001-12-27T09:19:00Z</cp:lastPrinted>
  <dcterms:modified xsi:type="dcterms:W3CDTF">2001-12-31T14:06:00Z</dcterms:modified>
  <cp:revision>4</cp:revision>
  <dc:subject/>
  <dc:title> </dc:title>
</cp:coreProperties>
</file>