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Marketing, Corp.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Marketing, Corp.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Friday</w:t>
      </w:r>
      <w:r>
        <w:rPr>
          <w:b/>
          <w:sz w:val="24"/>
        </w:rPr>
        <w:t xml:space="preserve"> December 28,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$27,685.73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12/27/01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$258,865.72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$57,310.29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$343,861.75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$114,620.59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2001-12-27T11:14:00Z</dcterms:created>
  <dc:creator>Cheryl Arnold</dc:creator>
  <dc:description/>
  <dc:language>en-CA</dc:language>
  <cp:lastModifiedBy>Ellen C. Francoeur</cp:lastModifiedBy>
  <cp:lastPrinted>2001-12-27T09:01:00Z</cp:lastPrinted>
  <dcterms:modified xsi:type="dcterms:W3CDTF">2001-12-27T11:38:00Z</dcterms:modified>
  <cp:revision>4</cp:revision>
  <dc:subject/>
  <dc:title> </dc:title>
</cp:coreProperties>
</file>