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44188773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March 31,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Executive Summary</w:t>
            <w:tab/>
            <w:t>3</w:t>
          </w:r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77862607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A</w:t>
            <w:tab/>
            <w:t xml:space="preserve"> Transaction Summary</w:t>
            <w:tab/>
          </w:r>
          <w:hyperlink w:anchor="__RefHeading___Toc477862608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B</w:t>
            <w:tab/>
            <w:t xml:space="preserve"> Competitor Information</w:t>
            <w:tab/>
          </w:r>
          <w:hyperlink w:anchor="__RefHeading___Toc477862609">
            <w:r>
              <w:rPr>
                <w:rStyle w:val="IndexLink"/>
                <w:lang w:val="en-CA"/>
              </w:rPr>
              <w:t>5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C       Failed Transactions</w:t>
            <w:tab/>
          </w:r>
          <w:hyperlink w:anchor="__RefHeading___Toc477862611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2802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 xml:space="preserve">D       Number of Counterparties </w:t>
            <w:tab/>
          </w:r>
          <w:hyperlink w:anchor="__RefHeading___Toc477862612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E       System Issues</w:t>
            <w:tab/>
          </w:r>
          <w:hyperlink w:anchor="__RefHeading___Toc477862613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2"/>
            <w:tabs>
              <w:tab w:val="clear" w:pos="720"/>
              <w:tab w:val="left" w:pos="600" w:leader="none"/>
              <w:tab w:val="right" w:pos="7910" w:leader="dot"/>
            </w:tabs>
            <w:rPr>
              <w:lang w:val="en-CA"/>
            </w:rPr>
          </w:pPr>
          <w:r>
            <w:rPr>
              <w:lang w:val="en-CA"/>
            </w:rPr>
            <w:t>F</w:t>
            <w:tab/>
            <w:t xml:space="preserve"> Customer Activity</w:t>
            <w:tab/>
          </w:r>
          <w:hyperlink w:anchor="__RefHeading___Toc477862615">
            <w:r>
              <w:rPr>
                <w:rStyle w:val="IndexLink"/>
                <w:lang w:val="en-CA"/>
              </w:rPr>
              <w:t>7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Normal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ind w:hanging="0" w:start="0"/>
        <w:rPr>
          <w:rFonts w:ascii="Arial" w:hAnsi="Arial" w:cs="Arial"/>
          <w:b w:val="false"/>
          <w:caps/>
          <w:sz w:val="24"/>
          <w:lang w:val="en-CA"/>
        </w:rPr>
      </w:pPr>
      <w:r>
        <w:rPr>
          <w:rFonts w:cs="Arial"/>
          <w:b w:val="false"/>
          <w:caps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-50165</wp:posOffset>
                </wp:positionH>
                <wp:positionV relativeFrom="paragraph">
                  <wp:posOffset>10795</wp:posOffset>
                </wp:positionV>
                <wp:extent cx="595249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49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spacing w:before="240" w:after="60"/>
                              <w:ind w:hanging="0" w:start="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Executive Summary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68.7pt;height:51.1pt;mso-wrap-distance-left:9.05pt;mso-wrap-distance-right:9.05pt;mso-wrap-distance-top:0pt;mso-wrap-distance-bottom:0pt;margin-top:0.85pt;mso-position-vertical-relative:text;margin-left:-3.95pt;mso-position-horizontal-relative:text">
                <v:textbox>
                  <w:txbxContent>
                    <w:p>
                      <w:pPr>
                        <w:pStyle w:val="Heading1"/>
                        <w:spacing w:before="240" w:after="60"/>
                        <w:ind w:hanging="0" w:start="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Executive Summary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 xml:space="preserve">Year To Date </w:t>
        <w:tab/>
        <w:t xml:space="preserve">    Life To Date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38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 xml:space="preserve">1,304 </w:t>
        <w:tab/>
        <w:t>60,043</w:t>
        <w:tab/>
        <w:t xml:space="preserve">              65,044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511,514,810</w:t>
        <w:tab/>
        <w:t>23,212,255,002</w:t>
        <w:tab/>
        <w:t>24,424,926,993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ab/>
        <w:t xml:space="preserve"> 1,092,754,831</w:t>
        <w:tab/>
        <w:t xml:space="preserve">  1,188,506,323      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New Counterparties transacting today </w:t>
        <w:tab/>
        <w:tab/>
        <w:t>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Number of Counterparties having transacted to date </w:t>
        <w:tab/>
        <w:tab/>
        <w:t>281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541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10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Currencies offered on EnronOnline                                11                           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External Users with Execution rights </w:t>
        <w:tab/>
        <w:t>360</w:t>
      </w:r>
    </w:p>
    <w:p>
      <w:pPr>
        <w:pStyle w:val="Normal"/>
        <w:tabs>
          <w:tab w:val="clear" w:pos="720"/>
          <w:tab w:val="decimal" w:pos="5103" w:leader="none"/>
          <w:tab w:val="decimal" w:pos="5400" w:leader="none"/>
          <w:tab w:val="decimal" w:pos="738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Guest Users (no Transaction rights)</w:t>
        <w:tab/>
        <w:t>25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103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800" w:right="1739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bookmarkStart w:id="0" w:name="__RefHeading___Toc477862607"/>
      <w:bookmarkEnd w:id="0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1" w:name="__RefHeading___Toc477862608"/>
      <w:bookmarkEnd w:id="1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60390" cy="608901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90" cy="608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800" w:right="1800" w:gutter="0" w:header="0" w:top="1440" w:footer="720" w:bottom="144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77862609"/>
      <w:bookmarkEnd w:id="2"/>
      <w:r>
        <w:rPr/>
        <w:t>B</w:t>
        <w:tab/>
        <w:t>Competitor Information</w:t>
      </w:r>
    </w:p>
    <w:p>
      <w:pPr>
        <w:pStyle w:val="Normal"/>
        <w:rPr/>
      </w:pPr>
      <w:r>
        <w:rPr/>
      </w:r>
    </w:p>
    <w:tbl>
      <w:tblPr>
        <w:tblW w:w="98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800"/>
        <w:gridCol w:w="1080"/>
        <w:gridCol w:w="1260"/>
        <w:gridCol w:w="900"/>
        <w:gridCol w:w="1440"/>
        <w:gridCol w:w="1350"/>
      </w:tblGrid>
      <w:tr>
        <w:trPr>
          <w:trHeight w:val="307" w:hRule="atLeast"/>
        </w:trPr>
        <w:tc>
          <w:tcPr>
            <w:tcW w:w="20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Market/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 xml:space="preserve">Competitor 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Number of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35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307" w:hRule="atLeast"/>
        </w:trPr>
        <w:tc>
          <w:tcPr>
            <w:tcW w:w="20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Commodities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Name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Units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35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319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956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6,590,825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186,273,922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Natural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3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243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2,151,800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24,355,900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Power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4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121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-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644,800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Gas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5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170,500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9,112,500 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WEATHER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6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Contracts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Petrochemicals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7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8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240,898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20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Crude and Liquides</w:t>
            </w:r>
          </w:p>
        </w:tc>
        <w:tc>
          <w:tcPr>
            <w:tcW w:w="18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9"/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 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479,400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255,000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84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3" w:name="__RefHeading___Toc477862611"/>
      <w:bookmarkEnd w:id="3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/>
      </w:pPr>
      <w:r>
        <w:rPr/>
        <w:t xml:space="preserve">There were 155 transaction attempts that did not succeed which represents 12% of all successful transactions.  Of these, 149 were due to customers attempting to purchase a product which had altered in price or volume.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rPr/>
      </w:pPr>
      <w:r>
        <w:rPr/>
        <w:t xml:space="preserve">Price and volume altered  </w:t>
        <w:tab/>
        <w:tab/>
        <w:tab/>
        <w:tab/>
        <w:tab/>
        <w:t xml:space="preserve">  149</w:t>
      </w:r>
    </w:p>
    <w:p>
      <w:pPr>
        <w:pStyle w:val="BodyText2"/>
        <w:rPr/>
      </w:pPr>
      <w:r>
        <w:rPr/>
        <w:t>Product is not active</w:t>
        <w:tab/>
        <w:tab/>
        <w:tab/>
        <w:tab/>
        <w:tab/>
        <w:tab/>
        <w:t xml:space="preserve">     4</w:t>
        <w:tab/>
      </w:r>
    </w:p>
    <w:p>
      <w:pPr>
        <w:pStyle w:val="BodyText2"/>
        <w:rPr/>
      </w:pPr>
      <w:r>
        <w:rPr/>
        <w:t>Credit Limit Exceeded</w:t>
        <w:tab/>
        <w:tab/>
        <w:tab/>
        <w:tab/>
        <w:tab/>
        <w:tab/>
        <w:t xml:space="preserve">     2</w:t>
        <w:tab/>
        <w:tab/>
        <w:tab/>
        <w:tab/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77862612"/>
      <w:bookmarkEnd w:id="4"/>
      <w:r>
        <w:rPr/>
        <w:t xml:space="preserve">D  Number of Counterparties </w:t>
        <w:tab/>
        <w:tab/>
        <w:tab/>
        <w:t xml:space="preserve">      (to date)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Passwords Issued</w:t>
        <w:tab/>
        <w:tab/>
        <w:tab/>
        <w:tab/>
        <w:tab/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Companies</w:t>
        <w:tab/>
        <w:tab/>
        <w:tab/>
        <w:tab/>
        <w:tab/>
        <w:tab/>
        <w:t xml:space="preserve"> 729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Number of Master Users</w:t>
        <w:tab/>
        <w:tab/>
        <w:tab/>
        <w:tab/>
        <w:tab/>
        <w:t xml:space="preserve"> 852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ab/>
        <w:tab/>
        <w:tab/>
        <w:tab/>
        <w:t xml:space="preserve">            3144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end="0"/>
        <w:rPr/>
      </w:pPr>
      <w:r>
        <w:rPr/>
        <w:t>Application Rejections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Credit</w:t>
        <w:tab/>
        <w:tab/>
        <w:tab/>
        <w:tab/>
        <w:tab/>
        <w:tab/>
        <w:tab/>
        <w:t xml:space="preserve"> </w:t>
        <w:tab/>
        <w:t xml:space="preserve">  45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Non-Customer</w:t>
        <w:tab/>
        <w:t xml:space="preserve"> (e.g. Broker)</w:t>
        <w:tab/>
        <w:tab/>
        <w:tab/>
        <w:tab/>
        <w:tab/>
        <w:t xml:space="preserve">  31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 xml:space="preserve">Applications Closed (e.g. Sub-User Access, </w:t>
        <w:tab/>
        <w:tab/>
        <w:tab/>
        <w:t xml:space="preserve">  65</w:t>
        <w:tab/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  <w:t>No Response,etc)</w:t>
        <w:tab/>
        <w:tab/>
        <w:tab/>
        <w:tab/>
        <w:tab/>
        <w:tab/>
        <w:t xml:space="preserve">  </w:t>
      </w:r>
    </w:p>
    <w:p>
      <w:pPr>
        <w:pStyle w:val="BodyTextIndent2"/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 xml:space="preserve">10 </w:t>
        <w:tab/>
        <w:t xml:space="preserve">  1</w:t>
        <w:tab/>
        <w:t>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24</w:t>
        <w:tab/>
        <w:t xml:space="preserve">2 </w:t>
        <w:tab/>
        <w:t xml:space="preserve"> 22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9</w:t>
        <w:tab/>
        <w:t xml:space="preserve">  2</w:t>
        <w:tab/>
        <w:t xml:space="preserve">   7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 xml:space="preserve">  0</w:t>
        <w:tab/>
        <w:t xml:space="preserve">   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48</w:t>
        <w:tab/>
        <w:t xml:space="preserve">  7</w:t>
        <w:tab/>
        <w:t xml:space="preserve">  41</w:t>
      </w:r>
    </w:p>
    <w:p>
      <w:pPr>
        <w:pStyle w:val="BodyText2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5" w:name="__RefHeading___Toc477862613"/>
      <w:bookmarkEnd w:id="5"/>
      <w:r>
        <w:rPr/>
        <w:t>E  System Issues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There were no system issues that interfered with trading today.</w:t>
      </w:r>
      <w:bookmarkStart w:id="6" w:name="__RefHeading___Toc477862615"/>
      <w:r>
        <w:br w:type="page"/>
      </w:r>
    </w:p>
    <w:p>
      <w:pPr>
        <w:pStyle w:val="Heading2"/>
        <w:ind w:hanging="0" w:start="0"/>
        <w:rPr/>
      </w:pPr>
      <w:r>
        <w:rPr/>
        <w:t>F</w:t>
        <w:tab/>
        <w:t>Customer Activity</w:t>
      </w:r>
      <w:bookmarkEnd w:id="6"/>
      <w:r>
        <w:rPr/>
        <w:t xml:space="preserve">  Top Customers by Commodity (Today)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Page 1 of 2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2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990"/>
        <w:gridCol w:w="504"/>
        <w:gridCol w:w="1746"/>
        <w:gridCol w:w="504"/>
        <w:gridCol w:w="1656"/>
        <w:gridCol w:w="492"/>
      </w:tblGrid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03/31/00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North American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10,062,011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77.7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29,147,557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78.1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93.8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17,050,011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85.8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50,088,506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86.4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83.6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5,536,500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93.9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16,127,275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93.7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82.4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18,433,000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49.4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54,682,038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49.6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92.5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2,814,033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96.9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8,160,696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96.9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67.6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64,041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70.6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2,317,500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58.2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4,920,247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1,532,500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90.5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3,004,773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89.9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1,595,000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77.6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3,478,719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Yorkshire Energy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85.7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83.7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833,413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83.6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Total Gas Marketing Limit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98.6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684,845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98.4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2,641,260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54.2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131,600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62.2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3,811,760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59.7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36.7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165,500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Citizens Power Sales LLC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52.4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46.2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1,895,840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50.4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55.6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89,600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56.1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3,581,840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93.2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42.9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53.5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9.1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54,845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843,264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5.6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18,360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4.8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196,288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4.1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60.2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4,561,107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62.1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13,440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427,685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28,882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The Chase Manhattan Bank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3,555,368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26,136,000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19,972,000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7"/>
        <w:rPr>
          <w:sz w:val="22"/>
        </w:rPr>
      </w:pP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/>
        <w:tab/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6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63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3/31/00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3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FootnoteText"/>
        <w:rPr/>
      </w:pPr>
      <w:r>
        <w:rPr/>
      </w:r>
    </w:p>
    <w:tbl>
      <w:tblPr>
        <w:tblW w:w="934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73"/>
        <w:gridCol w:w="504"/>
        <w:gridCol w:w="1573"/>
        <w:gridCol w:w="504"/>
        <w:gridCol w:w="1566"/>
        <w:gridCol w:w="492"/>
      </w:tblGrid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Heading9"/>
              <w:ind w:hanging="0" w:start="0"/>
              <w:rPr/>
            </w:pPr>
            <w:r>
              <w:rPr/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Peabody COALTRADE,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23,250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554,513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23,250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547,538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40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810"/>
        <w:gridCol w:w="1006"/>
        <w:gridCol w:w="473"/>
        <w:gridCol w:w="1671"/>
        <w:gridCol w:w="473"/>
        <w:gridCol w:w="1507"/>
        <w:gridCol w:w="461"/>
      </w:tblGrid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North American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3,899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814,125,819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2,179,779,864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51.0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1,231,479,060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3,281,511,527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69.3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84.8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65,300,190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176,226,812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Holding,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862,676,505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2,366,845,831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68.5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77,632,035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211,755,164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7,675,000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14,915,962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67.7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4,712,500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9,249,517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40.7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6,491,781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52.1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70,792,500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144,148,041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56.3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47,280,000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95,908,540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54.9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34,250,000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69,647,920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47.2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37,515,000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72,326,999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9.7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Amerada Hess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16,885,000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33,579,962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71.5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167,617,370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26.6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1,683,200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45,362,400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30.0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3,204,800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139,062,700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30.1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Merchant Energy Group of the America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2,056,000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76,902,780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50.4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Citizens Power Sales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2,210,450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68,847,912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31.2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Citipower Pty  acting as Trustee of 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745,634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3.5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61,107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3.2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861,770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14,642,451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59.1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940,380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15,227,148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47.2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757,740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13,176,754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41.7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Nord Pool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1,906,145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26,077,714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3.8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763,065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10,407,286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38.3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Kotkan Energia OY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339,970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4,877,411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56.4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5,768,018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198,561,718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48.7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3,069,119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113,878,204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45.4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3,563,040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123,117,798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41.3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27.4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12,725,751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319,126,840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16.4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65.8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7,999,000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55,112,788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21.3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10,439,000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206,034,088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18.5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79.8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1,136,000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295,479,418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71.8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817,000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219,572,000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55.0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Neste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70.8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537,000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148,773,000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60.1</w:t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</w:tbl>
    <w:p>
      <w:pPr>
        <w:pStyle w:val="FootnoteText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Top Customers by Commodity (Life to Date)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5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454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45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5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7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941"/>
        <w:gridCol w:w="473"/>
        <w:gridCol w:w="159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65,751,860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61.9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6,312,906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Landmark Chemicals S.A.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39.1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28,208,000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Heading9"/>
              <w:ind w:hanging="0" w:start="0"/>
              <w:rPr/>
            </w:pPr>
            <w:r>
              <w:rPr/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1,802,250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12,899,689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1,038,000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10,514,663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782,250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4,592,156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23.3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7,692,750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7,322,375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3,251,050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Societe Generale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10"/>
      <w:footerReference w:type="first" r:id="rId11"/>
      <w:footnotePr>
        <w:numFmt w:val="decimal"/>
      </w:footnotePr>
      <w:type w:val="nextPage"/>
      <w:pgSz w:w="11906" w:h="16838"/>
      <w:pgMar w:left="1622" w:right="1196" w:gutter="0" w:header="0" w:top="1440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lang w:eastAsia="en-US"/>
      </w:rPr>
    </w:pPr>
    <w:r>
      <w:rPr>
        <w:lang w:eastAsia="en-US"/>
      </w:rPr>
      <w:tab/>
      <w:tab/>
      <w:tab/>
      <w:tab/>
      <w:tab/>
      <w:tab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ab/>
      <w:tab/>
      <w:tab/>
      <w:tab/>
    </w:r>
    <w:r>
      <w:rPr/>
      <w:tab/>
      <w:tab/>
    </w:r>
    <w:r>
      <w:rPr>
        <w:lang w:eastAsia="en-US"/>
      </w:rPr>
      <w:tab/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American Natural Gas, however Altrade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only offers physical products.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 Natural Gas, however NGX only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Altrade information is not available today. Power Altrade does not give total deal count, but provides total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Chemmatch information is not available today.  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Altrade provides both transaction and volume information.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3.wmf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2000-03-29T07:21:00Z</dcterms:created>
  <dc:creator>rshults</dc:creator>
  <dc:description/>
  <dc:language>en-CA</dc:language>
  <cp:lastModifiedBy>csoutha</cp:lastModifiedBy>
  <cp:lastPrinted>2000-04-03T11:29:00Z</cp:lastPrinted>
  <dcterms:modified xsi:type="dcterms:W3CDTF">2000-04-03T14:02:00Z</dcterms:modified>
  <cp:revision>65</cp:revision>
  <dc:subject/>
  <dc:title/>
</cp:coreProperties>
</file>