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907888733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March 30,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/>
      </w:pPr>
      <w:r>
        <w:rPr/>
        <w:t>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"1-2" </w:instrText>
          </w:r>
          <w:r>
            <w:rPr/>
            <w:fldChar w:fldCharType="separate"/>
          </w:r>
          <w:r>
            <w:rPr/>
            <w:t>Executive Summary</w:t>
            <w:tab/>
            <w:t>3</w:t>
          </w:r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77862607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left" w:pos="600" w:leader="none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A</w:t>
            <w:tab/>
            <w:t xml:space="preserve"> Transaction Summary</w:t>
            <w:tab/>
          </w:r>
          <w:hyperlink w:anchor="__RefHeading___Toc477862608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left" w:pos="600" w:leader="none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B</w:t>
            <w:tab/>
            <w:t xml:space="preserve"> Competitor Information</w:t>
            <w:tab/>
          </w:r>
          <w:hyperlink w:anchor="__RefHeading___Toc477862609">
            <w:r>
              <w:rPr>
                <w:rStyle w:val="IndexLink"/>
                <w:lang w:val="en-CA"/>
              </w:rPr>
              <w:t>5</w:t>
            </w:r>
          </w:hyperlink>
        </w:p>
        <w:p>
          <w:pPr>
            <w:pStyle w:val="TOC2"/>
            <w:tabs>
              <w:tab w:val="clear" w:pos="720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C       Failed Transactions</w:t>
            <w:tab/>
          </w:r>
          <w:hyperlink w:anchor="__RefHeading___Toc477862611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2"/>
            <w:tabs>
              <w:tab w:val="clear" w:pos="720"/>
              <w:tab w:val="left" w:pos="2802" w:leader="none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 xml:space="preserve">D       Number of Counterparties </w:t>
            <w:tab/>
          </w:r>
          <w:hyperlink w:anchor="__RefHeading___Toc477862612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2"/>
            <w:tabs>
              <w:tab w:val="clear" w:pos="720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E       System Issues</w:t>
            <w:tab/>
          </w:r>
          <w:hyperlink w:anchor="__RefHeading___Toc477862613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2"/>
            <w:tabs>
              <w:tab w:val="clear" w:pos="720"/>
              <w:tab w:val="left" w:pos="600" w:leader="none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F</w:t>
            <w:tab/>
            <w:t xml:space="preserve"> Customer Activity</w:t>
            <w:tab/>
          </w:r>
          <w:hyperlink w:anchor="__RefHeading___Toc477862615">
            <w:r>
              <w:rPr>
                <w:rStyle w:val="IndexLink"/>
                <w:lang w:val="en-CA"/>
              </w:rPr>
              <w:t>7</w:t>
            </w:r>
          </w:hyperlink>
          <w:r>
            <w:rPr>
              <w:rStyle w:val="IndexLink"/>
              <w:lang w:val="en-CA"/>
            </w:rPr>
            <w:fldChar w:fldCharType="end"/>
          </w:r>
        </w:p>
      </w:sdtContent>
    </w:sdt>
    <w:p>
      <w:pPr>
        <w:pStyle w:val="Normal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ind w:hanging="0" w:start="0"/>
        <w:rPr>
          <w:rFonts w:ascii="Arial" w:hAnsi="Arial" w:cs="Arial"/>
          <w:b w:val="false"/>
          <w:caps/>
          <w:sz w:val="24"/>
          <w:lang w:val="en-CA"/>
        </w:rPr>
      </w:pPr>
      <w:r>
        <w:rPr>
          <w:rFonts w:cs="Arial"/>
          <w:b w:val="false"/>
          <w:caps/>
          <w:sz w:val="24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-50165</wp:posOffset>
                </wp:positionH>
                <wp:positionV relativeFrom="paragraph">
                  <wp:posOffset>10795</wp:posOffset>
                </wp:positionV>
                <wp:extent cx="5952490" cy="64897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490" cy="648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spacing w:before="240" w:after="60"/>
                              <w:ind w:hanging="0" w:start="0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Executive Summary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68.7pt;height:51.1pt;mso-wrap-distance-left:9.05pt;mso-wrap-distance-right:9.05pt;mso-wrap-distance-top:0pt;mso-wrap-distance-bottom:0pt;margin-top:0.85pt;mso-position-vertical-relative:text;margin-left:-3.95pt;mso-position-horizontal-relative:text">
                <v:textbox>
                  <w:txbxContent>
                    <w:p>
                      <w:pPr>
                        <w:pStyle w:val="Heading1"/>
                        <w:spacing w:before="240" w:after="60"/>
                        <w:ind w:hanging="0" w:start="0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Executive Summary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 xml:space="preserve">Year To Date </w:t>
        <w:tab/>
        <w:t xml:space="preserve">    Life To Date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Heading5"/>
        <w:tabs>
          <w:tab w:val="clear" w:pos="6804"/>
          <w:tab w:val="clear" w:pos="9356"/>
          <w:tab w:val="decimal" w:pos="5400" w:leader="none"/>
          <w:tab w:val="decimal" w:pos="738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 xml:space="preserve">1,562 </w:t>
        <w:tab/>
        <w:t>58,739</w:t>
        <w:tab/>
        <w:t xml:space="preserve">              63,740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615,635,420</w:t>
        <w:tab/>
        <w:t>22,700,725,442</w:t>
        <w:tab/>
        <w:t>23,913,397,432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ab/>
        <w:t xml:space="preserve"> 1,021,832,252</w:t>
        <w:tab/>
        <w:t xml:space="preserve">  1,117,583,744      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Number of New Counterparties transacting today </w:t>
        <w:tab/>
        <w:tab/>
        <w:t>0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Number of Counterparties having transacted to date </w:t>
        <w:tab/>
        <w:tab/>
        <w:t>280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628</w:t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10</w:t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11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Currencies offered on EnronOnline                                11                           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External Users with Execution rights </w:t>
        <w:tab/>
        <w:t>334</w:t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Guest Users (no Transaction rights)</w:t>
        <w:tab/>
        <w:t>21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5103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1800" w:right="1739" w:gutter="0" w:header="0" w:top="1440" w:footer="720" w:bottom="144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rPr/>
      </w:pPr>
      <w:bookmarkStart w:id="0" w:name="__RefHeading___Toc477862607"/>
      <w:bookmarkEnd w:id="0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1" w:name="__RefHeading___Toc477862608"/>
      <w:bookmarkEnd w:id="1"/>
      <w:r>
        <w:rPr/>
        <w:t>A</w:t>
        <w:tab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650865" cy="6209030"/>
            <wp:effectExtent l="0" t="0" r="0" b="0"/>
            <wp:wrapTopAndBottom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865" cy="6209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1800" w:right="1800" w:gutter="0" w:header="0" w:top="1440" w:footer="720" w:bottom="144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77862609"/>
      <w:bookmarkEnd w:id="2"/>
      <w:r>
        <w:rPr/>
        <w:t>B</w:t>
        <w:tab/>
        <w:t>Competitor Information</w:t>
      </w:r>
    </w:p>
    <w:p>
      <w:pPr>
        <w:pStyle w:val="Normal"/>
        <w:rPr/>
      </w:pPr>
      <w:r>
        <w:rPr/>
      </w:r>
    </w:p>
    <w:tbl>
      <w:tblPr>
        <w:tblW w:w="921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010"/>
        <w:gridCol w:w="1620"/>
        <w:gridCol w:w="990"/>
        <w:gridCol w:w="1170"/>
        <w:gridCol w:w="990"/>
        <w:gridCol w:w="1170"/>
        <w:gridCol w:w="1260"/>
      </w:tblGrid>
      <w:tr>
        <w:trPr>
          <w:trHeight w:val="307" w:hRule="atLeast"/>
        </w:trPr>
        <w:tc>
          <w:tcPr>
            <w:tcW w:w="20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Market/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Competitor 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Number of</w:t>
            </w:r>
          </w:p>
        </w:tc>
        <w:tc>
          <w:tcPr>
            <w:tcW w:w="117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Transactions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Volume</w:t>
            </w:r>
          </w:p>
        </w:tc>
        <w:tc>
          <w:tcPr>
            <w:tcW w:w="126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20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Commodities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Name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17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Units</w:t>
            </w:r>
          </w:p>
        </w:tc>
        <w:tc>
          <w:tcPr>
            <w:tcW w:w="117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26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Natural Gas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2"/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295 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1,067 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24,594,836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239,119,235 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Canadian Natural Gas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3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154 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174 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6,129,400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38,994,140 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4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  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169 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MWh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312,800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1,248,000 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5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  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100 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196,000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13,457,500 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WEATHER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6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Contracts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Petrochemicals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7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  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 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Crude and Liquides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8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  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248,117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Crude and Liquides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 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9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 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356,000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center" w:pos="846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 w:end="-1051"/>
        <w:rPr/>
      </w:pPr>
      <w:r>
        <w:rPr/>
      </w:r>
      <w:r>
        <w:br w:type="page"/>
      </w:r>
    </w:p>
    <w:p>
      <w:pPr>
        <w:pStyle w:val="Heading2"/>
        <w:ind w:hanging="0" w:start="0"/>
        <w:rPr/>
      </w:pPr>
      <w:bookmarkStart w:id="3" w:name="__RefHeading___Toc477862611"/>
      <w:bookmarkEnd w:id="3"/>
      <w:r>
        <w:rPr/>
        <w:t>C  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/>
      </w:pPr>
      <w:r>
        <w:rPr/>
        <w:t xml:space="preserve">There were 198 transaction attempts that did not succeed which represents 13% of all successful transactions.  Of these, 177 were due to customers attempting to purchase a product which had altered in price or volume.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rPr/>
      </w:pPr>
      <w:r>
        <w:rPr/>
        <w:t xml:space="preserve">Price and volume altered  </w:t>
        <w:tab/>
        <w:tab/>
        <w:tab/>
        <w:tab/>
        <w:tab/>
        <w:t xml:space="preserve">  177</w:t>
      </w:r>
    </w:p>
    <w:p>
      <w:pPr>
        <w:pStyle w:val="BodyText2"/>
        <w:rPr/>
      </w:pPr>
      <w:r>
        <w:rPr/>
        <w:t>Product is not active</w:t>
        <w:tab/>
        <w:tab/>
        <w:tab/>
        <w:tab/>
        <w:tab/>
        <w:tab/>
        <w:t xml:space="preserve">     7</w:t>
        <w:tab/>
      </w:r>
    </w:p>
    <w:p>
      <w:pPr>
        <w:pStyle w:val="BodyText2"/>
        <w:rPr/>
      </w:pPr>
      <w:r>
        <w:rPr/>
        <w:t>Credit Limit Exceeded</w:t>
        <w:tab/>
        <w:tab/>
        <w:tab/>
        <w:tab/>
        <w:tab/>
        <w:tab/>
        <w:t xml:space="preserve">   14</w:t>
        <w:tab/>
        <w:tab/>
        <w:tab/>
        <w:tab/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bookmarkStart w:id="4" w:name="__RefHeading___Toc477862612"/>
      <w:bookmarkEnd w:id="4"/>
      <w:r>
        <w:rPr/>
        <w:t xml:space="preserve">D  Number of Counterparties </w:t>
        <w:tab/>
        <w:tab/>
        <w:tab/>
        <w:t xml:space="preserve">      (to date)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ind w:hanging="0" w:end="0"/>
        <w:rPr/>
      </w:pPr>
      <w:r>
        <w:rPr/>
        <w:t>Passwords Issued</w:t>
        <w:tab/>
        <w:tab/>
        <w:tab/>
        <w:tab/>
        <w:tab/>
        <w:tab/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Number of Companies</w:t>
        <w:tab/>
        <w:tab/>
        <w:tab/>
        <w:tab/>
        <w:tab/>
        <w:tab/>
        <w:t xml:space="preserve"> 726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Number of Master Users</w:t>
        <w:tab/>
        <w:tab/>
        <w:tab/>
        <w:tab/>
        <w:tab/>
        <w:t xml:space="preserve"> 847</w:t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Number of Users</w:t>
        <w:tab/>
        <w:tab/>
        <w:tab/>
        <w:tab/>
        <w:tab/>
        <w:t xml:space="preserve">           3,117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ind w:hanging="0" w:end="0"/>
        <w:rPr/>
      </w:pPr>
      <w:r>
        <w:rPr/>
        <w:t>Application Rejections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Credit</w:t>
        <w:tab/>
        <w:tab/>
        <w:tab/>
        <w:tab/>
        <w:tab/>
        <w:tab/>
        <w:tab/>
        <w:t xml:space="preserve"> </w:t>
        <w:tab/>
        <w:t xml:space="preserve">  44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Non-Customer</w:t>
        <w:tab/>
        <w:t xml:space="preserve"> (e.g. Broker)</w:t>
        <w:tab/>
        <w:tab/>
        <w:tab/>
        <w:tab/>
        <w:tab/>
        <w:t xml:space="preserve">  31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 xml:space="preserve">Applications Closed (e.g. Sub-User Access, </w:t>
        <w:tab/>
        <w:tab/>
        <w:tab/>
        <w:t xml:space="preserve">  62</w:t>
        <w:tab/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No Response,etc)</w:t>
        <w:tab/>
        <w:tab/>
        <w:tab/>
        <w:tab/>
        <w:tab/>
        <w:tab/>
        <w:t xml:space="preserve">  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tabs>
          <w:tab w:val="clear" w:pos="720"/>
          <w:tab w:val="right" w:pos="7200" w:leader="none"/>
          <w:tab w:val="right" w:pos="8280" w:leader="none"/>
        </w:tabs>
        <w:ind w:hanging="0" w:end="0"/>
        <w:rPr/>
      </w:pPr>
      <w:r>
        <w:rPr/>
        <w:t>Number of Applications in Process</w:t>
        <w:tab/>
        <w:t>UK</w:t>
        <w:tab/>
        <w:t>US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EnronOnline</w:t>
        <w:tab/>
        <w:t xml:space="preserve">     6 </w:t>
        <w:tab/>
        <w:t xml:space="preserve">  2</w:t>
        <w:tab/>
        <w:t xml:space="preserve">   4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Credit</w:t>
        <w:tab/>
        <w:t>25</w:t>
        <w:tab/>
        <w:t xml:space="preserve">0 </w:t>
        <w:tab/>
        <w:t xml:space="preserve"> 25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Legal</w:t>
        <w:tab/>
        <w:t>8</w:t>
        <w:tab/>
        <w:t xml:space="preserve">  2</w:t>
        <w:tab/>
        <w:t xml:space="preserve">   6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Global</w:t>
        <w:tab/>
        <w:t>0</w:t>
        <w:tab/>
        <w:t xml:space="preserve">  0</w:t>
        <w:tab/>
        <w:t xml:space="preserve">   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Customer</w:t>
        <w:tab/>
        <w:t>50</w:t>
        <w:tab/>
        <w:t xml:space="preserve">  7</w:t>
        <w:tab/>
        <w:t xml:space="preserve">  43</w:t>
      </w:r>
    </w:p>
    <w:p>
      <w:pPr>
        <w:pStyle w:val="BodyText2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bookmarkStart w:id="5" w:name="__RefHeading___Toc477862613"/>
      <w:bookmarkEnd w:id="5"/>
      <w:r>
        <w:rPr/>
        <w:t>E  System Issues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  <w:t>There were no system issues that interfered with trading today.</w:t>
      </w:r>
      <w:bookmarkStart w:id="6" w:name="__RefHeading___Toc477862615"/>
      <w:r>
        <w:br w:type="page"/>
      </w:r>
    </w:p>
    <w:p>
      <w:pPr>
        <w:pStyle w:val="Heading2"/>
        <w:ind w:hanging="0" w:start="0"/>
        <w:rPr/>
      </w:pPr>
      <w:r>
        <w:rPr/>
        <w:t>F</w:t>
        <w:tab/>
        <w:t>Customer Activity</w:t>
      </w:r>
      <w:bookmarkEnd w:id="6"/>
      <w:r>
        <w:rPr/>
        <w:t xml:space="preserve">  Top Customers by Commodity (Today)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Page 1 of 2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tbl>
      <w:tblPr>
        <w:tblW w:w="943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990"/>
        <w:gridCol w:w="630"/>
        <w:gridCol w:w="1530"/>
        <w:gridCol w:w="504"/>
        <w:gridCol w:w="1566"/>
        <w:gridCol w:w="492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For 03/30/00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492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63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6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North American Gas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80.4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15,358,971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59.6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43,454,803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59.8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Coral Energy Holding, L.P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94.9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51,184,735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84.8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145,464,198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85.1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 -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74.4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18,318,500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37.9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52,011,213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Risk Management Co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78.3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22,907,000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66.2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66,375,563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86.9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2,396,028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64.5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6,948,481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Gas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98.9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1,220,459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99.0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13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86.7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680,000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14.9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1,616,728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16.2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12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2,252,500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20.8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4,724,924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11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91.7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2,192,500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99.5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5,201,005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99.6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Morgan Stanley Capital Gr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1,652,500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70.8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3,954,034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73.3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715,000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51.4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1,477,436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46.9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63.8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240,600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62.3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7,055,160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61.7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El Paso Merchant Energy, 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72.7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58,000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39.9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1,570,500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37.9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Citizens Power Sales LLC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15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57.7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198,400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65.2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11,048,600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78.1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Energy Trading, Inc.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13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48.1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149,200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39.4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4,291,820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13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72.2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125,600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61.3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5,790,500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Australian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Australia Tra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37,650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49.9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889,779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48.4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77.3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39,240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80.3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631,681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79.7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Hamburgische Electricitat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66.7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66,780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63.5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961,475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58.3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EnBW Gesellschaft fur Str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187,016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Nordic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33,135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517,418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Kotkan Energia OY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18,360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196,719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66.7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192,528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59.5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5,821,116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61.3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33.3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87,360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2,479,681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Crude &amp; Products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LPG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Koch Metals as Agent and 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56,000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13,448,000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Neste Gas Limited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6,192,000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Plastics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p>
      <w:pPr>
        <w:pStyle w:val="Heading7"/>
        <w:rPr>
          <w:sz w:val="22"/>
        </w:rPr>
      </w:pPr>
      <w:r>
        <w:rPr>
          <w:sz w:val="22"/>
        </w:rPr>
        <w:t>Customer Activity  Top Customers by Commodity (Today)</w:t>
      </w:r>
    </w:p>
    <w:p>
      <w:pPr>
        <w:pStyle w:val="Normal"/>
        <w:rPr/>
      </w:pPr>
      <w:r>
        <w:rPr/>
        <w:tab/>
      </w:r>
      <w:r>
        <w:rPr>
          <w:rFonts w:cs="Arial" w:ascii="Arial" w:hAnsi="Arial"/>
        </w:rPr>
        <w:t>Page 2 of 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66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540"/>
        <w:gridCol w:w="1620"/>
        <w:gridCol w:w="450"/>
        <w:gridCol w:w="1530"/>
        <w:gridCol w:w="630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For 3/30/00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4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63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FootnoteText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43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73"/>
        <w:gridCol w:w="637"/>
        <w:gridCol w:w="1530"/>
        <w:gridCol w:w="540"/>
        <w:gridCol w:w="1440"/>
        <w:gridCol w:w="492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Petrochemicals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Emissions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Public Service Electric 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320,625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Paper &amp; Pulp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Societe Generale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"%T" is the percentage of EOL to customer total trading activity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1 of  2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1006"/>
        <w:gridCol w:w="473"/>
        <w:gridCol w:w="1581"/>
        <w:gridCol w:w="540"/>
        <w:gridCol w:w="1507"/>
        <w:gridCol w:w="461"/>
      </w:tblGrid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461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8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North American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3,834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72.1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804,063,808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2,150,632,307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50.7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2,856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1,213,162,758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3,227,187,801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69.2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Cook Inlet Energy Supply Limited Par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2,530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84.6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63,752,994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171,732,369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70.9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Coral Energy Holding,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2,455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846,881,505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2,319,221,381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69.1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2,279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78.9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74,818,002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203,594,469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44.9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7,675,000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14,915,962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67.7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48.9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4,712,500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9,249,517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40.7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48.6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2,800,000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6,491,781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52.2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556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69.5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68,475,000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139,227,794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56.2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73.4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45,685,000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92,429,821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54.2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70.8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34,250,000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69,647,920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47.4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64.7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37,515,000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72,326,999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9.7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Amerada Hess Gas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16,625,000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73.4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33,077,735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71.4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36.5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4,830,800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28.4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164,976,110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26.7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Cinergy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527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46.3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1,672,000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45,060,800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30.1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487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49.6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3,180,800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138,227,500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30.2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Merchant Energy Group of the America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79.5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2,055,600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76,889,280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54.5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Citizens Power Sales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2,210,450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68,847,912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31.2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Australian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83.3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92,970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2,114,554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61.3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Trading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3,600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12.6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61,107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15.8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Citipower Pty  acting as Trustee of 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43,800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745,634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3.5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47.8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832,970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14,642,451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59.1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Hamburgische Electricitats-Werke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60.5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918,780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15,227,148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47.2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64.6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757,740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13,176,754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41.7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Nordic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Nord Pool ASA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4.5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1,887,785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25,881,426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3.8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66.1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708,220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41.8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9,564,022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36.3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Kotkan Energia OY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90.5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339,970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4,877,411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76.9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56.1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5,636,018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194,000,611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48.5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AEP Energy Services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53.9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3,069,119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113,878,204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45.4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52.9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3,563,040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41.6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123,117,798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Crude &amp; Products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J. Aron &amp;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27.8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12,725,751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319,126,840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16.7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65.8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7,999,000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55,112,788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21.3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Morgan Stanley Capital Group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33.5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10,439,000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206,034,088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18.5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LPG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Metals as Agent and on behalf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82.2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1,136,000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74.7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295,479,418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Global Liquids,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817,000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219,572,000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Neste Gas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70.8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537,000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148,773,000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60.1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Plastics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Shell Chemical Risk Management Compa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3,000,000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870,000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</w:tbl>
    <w:p>
      <w:pPr>
        <w:pStyle w:val="FootnoteText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Top Customers by Commodity (Life to Date)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Page 2 of 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754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704"/>
        <w:gridCol w:w="1671"/>
        <w:gridCol w:w="794"/>
        <w:gridCol w:w="1241"/>
        <w:gridCol w:w="454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79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454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70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79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54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76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630"/>
        <w:gridCol w:w="1006"/>
        <w:gridCol w:w="704"/>
        <w:gridCol w:w="1710"/>
        <w:gridCol w:w="720"/>
        <w:gridCol w:w="1530"/>
        <w:gridCol w:w="461"/>
      </w:tblGrid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Petrochemicals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61.3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138,000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61.1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65,751,860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58.3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Trammochem, a Division of Transammon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61.9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120,000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54.5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6,312,906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56.4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Landmark Chemicals S.A.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39.1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72,000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37.5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28,208,000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28.9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67.9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1,802,250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64.9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12,899,689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60.8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32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45.1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1,014,750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45.6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9,967,125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28.2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Marketing and Trade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65.0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782,250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67.9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4,592,156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62.4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Emissions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Service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23.3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60,000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18.5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7,692,750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18.1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31.0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55,000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26.2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7,322,375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27.6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Carbon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25.6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27,500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23.7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3,251,050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21.7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Paper &amp; Pulp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80.0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2,550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17.5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1,500,750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60.4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Societe Generale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"%T" is the percentage of EOL to customer total trading activity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10"/>
      <w:footerReference w:type="first" r:id="rId11"/>
      <w:footnotePr>
        <w:numFmt w:val="decimal"/>
      </w:footnotePr>
      <w:type w:val="nextPage"/>
      <w:pgSz w:w="11906" w:h="16838"/>
      <w:pgMar w:left="1622" w:right="1196" w:gutter="0" w:header="0" w:top="1440" w:footer="72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lang w:eastAsia="en-US"/>
      </w:rPr>
    </w:pPr>
    <w:r>
      <w:rPr>
        <w:lang w:eastAsia="en-US"/>
      </w:rPr>
      <w:tab/>
      <w:tab/>
      <w:tab/>
      <w:tab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ab/>
      <w:tab/>
      <w:tab/>
      <w:tab/>
    </w:r>
    <w:r>
      <w:rPr/>
      <w:tab/>
      <w:tab/>
    </w:r>
    <w:r>
      <w:rPr>
        <w:lang w:eastAsia="en-US"/>
      </w:rPr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lang w:eastAsia="en-US"/>
      </w:rPr>
    </w:pPr>
    <w:r>
      <w:rPr>
        <w:lang w:eastAsia="en-US"/>
      </w:rPr>
      <w:tab/>
      <w:tab/>
      <w:tab/>
      <w:tab/>
      <w:tab/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ab/>
      <w:tab/>
      <w:tab/>
      <w:tab/>
    </w:r>
    <w:r>
      <w:rPr/>
      <w:tab/>
      <w:tab/>
    </w:r>
    <w:r>
      <w:rPr>
        <w:lang w:eastAsia="en-US"/>
      </w:rPr>
      <w:tab/>
      <w:tab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lang w:eastAsia="en-US"/>
      </w:rPr>
    </w:pPr>
    <w:r>
      <w:rPr>
        <w:lang w:eastAsia="en-US"/>
      </w:rPr>
      <w:tab/>
      <w:tab/>
      <w:tab/>
      <w:tab/>
      <w:tab/>
      <w:tab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ab/>
      <w:tab/>
      <w:tab/>
      <w:tab/>
    </w:r>
    <w:r>
      <w:rPr/>
      <w:tab/>
      <w:tab/>
    </w:r>
    <w:r>
      <w:rPr>
        <w:lang w:eastAsia="en-US"/>
      </w:rPr>
      <w:tab/>
      <w:tab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EnronOnline offers both financial and physical products for North American Natural Gas, however Altrade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only offers physical products.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 xml:space="preserve">EnronOnline offers both financial and physical products for North America Natural Gas, however NGX only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offers physical products.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Power Altrade does not give total deal count, but provides total volume traded on the system.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IPE does not give total deal count, but provides total volume traded on the system.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Chemmatch information is not available today.  Chemmatch provides both transaction and volume information.</w:t>
      </w:r>
    </w:p>
  </w:footnote>
  <w:footnote w:id="8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IPE does not give total deal count, but provides total volume traded on the system.</w:t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Altrade provides both transaction and volume information.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ind w:hanging="0" w:start="200" w:end="0"/>
    </w:pPr>
    <w:rPr>
      <w:smallCaps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3.wmf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notes" Target="footnotes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2000-03-29T08:21:00Z</dcterms:created>
  <dc:creator>rshults</dc:creator>
  <dc:description/>
  <dc:language>en-CA</dc:language>
  <cp:lastModifiedBy>csoutha</cp:lastModifiedBy>
  <cp:lastPrinted>2000-03-31T12:18:00Z</cp:lastPrinted>
  <dcterms:modified xsi:type="dcterms:W3CDTF">2000-03-31T18:38:00Z</dcterms:modified>
  <cp:revision>46</cp:revision>
  <dc:subject/>
  <dc:title/>
</cp:coreProperties>
</file>