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20769724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March 23,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Executive Summary</w:t>
            <w:tab/>
            <w:t>3</w:t>
          </w:r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778626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A</w:t>
            <w:tab/>
            <w:t xml:space="preserve"> Transaction Summary</w:t>
            <w:tab/>
          </w:r>
          <w:hyperlink w:anchor="__RefHeading___Toc477862608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B</w:t>
            <w:tab/>
            <w:t xml:space="preserve"> Competitor Information</w:t>
            <w:tab/>
          </w:r>
          <w:hyperlink w:anchor="__RefHeading___Toc477862609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C       Failed Transactions</w:t>
            <w:tab/>
          </w:r>
          <w:hyperlink w:anchor="__RefHeading___Toc477862611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2802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 xml:space="preserve">D       Number of Counterparties </w:t>
            <w:tab/>
          </w:r>
          <w:hyperlink w:anchor="__RefHeading___Toc47786261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E       System Issues</w:t>
            <w:tab/>
          </w:r>
          <w:hyperlink w:anchor="__RefHeading___Toc477862613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F</w:t>
            <w:tab/>
            <w:t xml:space="preserve"> Customer Activity</w:t>
            <w:tab/>
          </w:r>
          <w:hyperlink w:anchor="__RefHeading___Toc477862615">
            <w:r>
              <w:rPr>
                <w:rStyle w:val="IndexLink"/>
                <w:lang w:val="en-CA"/>
              </w:rPr>
              <w:t>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ind w:hanging="0" w:start="0"/>
        <w:rPr>
          <w:rFonts w:ascii="Arial" w:hAnsi="Arial" w:cs="Arial"/>
          <w:b w:val="false"/>
          <w:caps/>
          <w:sz w:val="24"/>
          <w:lang w:val="en-CA"/>
        </w:rPr>
      </w:pPr>
      <w:r>
        <w:rPr>
          <w:rFonts w:cs="Arial"/>
          <w:b w:val="false"/>
          <w: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10795</wp:posOffset>
                </wp:positionV>
                <wp:extent cx="595249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240" w:after="60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8.7pt;height:51.1pt;mso-wrap-distance-left:9.05pt;mso-wrap-distance-right:9.05pt;mso-wrap-distance-top:0pt;mso-wrap-distance-bottom:0pt;margin-top:0.85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spacing w:before="240" w:after="60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Executive 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 xml:space="preserve">Year To Date </w:t>
        <w:tab/>
        <w:t xml:space="preserve">    Life To Date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38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 xml:space="preserve">1,399 </w:t>
        <w:tab/>
        <w:t xml:space="preserve">51,333 </w:t>
        <w:tab/>
        <w:t xml:space="preserve">              56,334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506,924,472</w:t>
        <w:tab/>
        <w:t>19,690,161,025</w:t>
        <w:tab/>
        <w:t>20,902,741,816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ab/>
        <w:t xml:space="preserve"> 865,179,289</w:t>
        <w:tab/>
        <w:t xml:space="preserve">     960,911,322 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New Counterparties transacting today </w:t>
        <w:tab/>
        <w:tab/>
        <w:t xml:space="preserve"> 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Counterparties having transacted to date </w:t>
        <w:tab/>
        <w:tab/>
        <w:t>274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679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External Users with Execution rights </w:t>
        <w:tab/>
        <w:t>400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Guest Users (no Transaction rights)</w:t>
        <w:tab/>
        <w:t>32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103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800" w:right="1739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bookmarkStart w:id="0" w:name="__RefHeading___Toc477862607"/>
      <w:bookmarkEnd w:id="0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77862608"/>
      <w:bookmarkEnd w:id="1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41975" cy="6804660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680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800" w:right="1800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77862609"/>
      <w:bookmarkEnd w:id="2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97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0"/>
        <w:gridCol w:w="1800"/>
        <w:gridCol w:w="1080"/>
        <w:gridCol w:w="1260"/>
        <w:gridCol w:w="900"/>
        <w:gridCol w:w="1350"/>
        <w:gridCol w:w="1260"/>
      </w:tblGrid>
      <w:tr>
        <w:trPr>
          <w:trHeight w:val="307" w:hRule="atLeast"/>
        </w:trPr>
        <w:tc>
          <w:tcPr>
            <w:tcW w:w="21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21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238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1,011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5,818,683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176,920,791 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207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203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17,875,100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35,524,155 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360,400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1,116,400 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3,240,000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9,257,500 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8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453,177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525,000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180,000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3" w:name="__RefHeading___Toc477862611"/>
      <w:bookmarkEnd w:id="3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/>
      </w:pPr>
      <w:r>
        <w:rPr/>
        <w:t xml:space="preserve">There were 247 transaction attempts that did not succeed which represents 18% of all successful transactions.  Of these, 198 were due to customers attempting to purchase a product which had altered in price or volume.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rPr/>
      </w:pPr>
      <w:r>
        <w:rPr/>
        <w:t xml:space="preserve">Price and volume altered  </w:t>
        <w:tab/>
        <w:tab/>
        <w:tab/>
        <w:tab/>
        <w:tab/>
        <w:t xml:space="preserve"> 198</w:t>
      </w:r>
    </w:p>
    <w:p>
      <w:pPr>
        <w:pStyle w:val="BodyText2"/>
        <w:rPr/>
      </w:pPr>
      <w:r>
        <w:rPr/>
        <w:t>Product is not active</w:t>
        <w:tab/>
        <w:tab/>
        <w:tab/>
        <w:tab/>
        <w:tab/>
        <w:tab/>
        <w:t xml:space="preserve">   10</w:t>
        <w:tab/>
      </w:r>
    </w:p>
    <w:p>
      <w:pPr>
        <w:pStyle w:val="BodyText2"/>
        <w:rPr/>
      </w:pPr>
      <w:r>
        <w:rPr/>
        <w:t>Credit Limit Exceeded</w:t>
        <w:tab/>
        <w:tab/>
        <w:tab/>
        <w:tab/>
        <w:tab/>
        <w:tab/>
        <w:t xml:space="preserve">   39</w:t>
        <w:tab/>
        <w:tab/>
        <w:tab/>
        <w:tab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77862612"/>
      <w:bookmarkEnd w:id="4"/>
      <w:r>
        <w:rPr/>
        <w:t xml:space="preserve">D  Number of Counterparties </w:t>
        <w:tab/>
        <w:tab/>
        <w:tab/>
        <w:t xml:space="preserve">      (to date)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Passwords Issued</w:t>
        <w:tab/>
        <w:tab/>
        <w:tab/>
        <w:tab/>
        <w:tab/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Companies</w:t>
        <w:tab/>
        <w:tab/>
        <w:tab/>
        <w:tab/>
        <w:tab/>
        <w:tab/>
        <w:t xml:space="preserve"> 690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Master Users</w:t>
        <w:tab/>
        <w:tab/>
        <w:tab/>
        <w:tab/>
        <w:tab/>
        <w:t xml:space="preserve"> 807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ab/>
        <w:tab/>
        <w:tab/>
        <w:tab/>
        <w:t xml:space="preserve">           2,987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Application Rejections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</w:t>
        <w:tab/>
        <w:t xml:space="preserve">  42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Non-Customer</w:t>
        <w:tab/>
        <w:t xml:space="preserve"> (e.g. Broker)</w:t>
        <w:tab/>
        <w:tab/>
        <w:tab/>
        <w:tab/>
        <w:tab/>
        <w:t xml:space="preserve">  31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 xml:space="preserve">Applications Closed (e.g. Sub-User Access, </w:t>
        <w:tab/>
        <w:tab/>
        <w:tab/>
        <w:t xml:space="preserve">  58</w:t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 Response,etc)</w:t>
        <w:tab/>
        <w:tab/>
        <w:tab/>
        <w:tab/>
        <w:tab/>
        <w:tab/>
        <w:t xml:space="preserve"> 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ind w:hanging="0" w:end="0"/>
        <w:rPr/>
      </w:pPr>
      <w:r>
        <w:rPr/>
        <w:t>Number of Applications in Process</w:t>
        <w:tab/>
        <w:tab/>
        <w:tab/>
        <w:tab/>
        <w:tab/>
        <w:tab/>
        <w:t>UK</w:t>
        <w:tab/>
        <w:t>US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EnronOnline</w:t>
        <w:tab/>
        <w:tab/>
        <w:tab/>
        <w:tab/>
        <w:tab/>
        <w:tab/>
        <w:t xml:space="preserve">  </w:t>
        <w:tab/>
        <w:t xml:space="preserve">   13</w:t>
        <w:tab/>
        <w:tab/>
        <w:t xml:space="preserve">  4</w:t>
        <w:tab/>
        <w:t xml:space="preserve">  9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               16</w:t>
        <w:tab/>
        <w:tab/>
        <w:t xml:space="preserve">  2</w:t>
        <w:tab/>
        <w:t xml:space="preserve"> 14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Legal</w:t>
        <w:tab/>
        <w:tab/>
        <w:tab/>
        <w:tab/>
        <w:tab/>
        <w:tab/>
        <w:tab/>
        <w:tab/>
        <w:t xml:space="preserve">   15</w:t>
        <w:tab/>
        <w:tab/>
        <w:t xml:space="preserve">  1</w:t>
        <w:tab/>
        <w:t xml:space="preserve"> 14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Global</w:t>
        <w:tab/>
        <w:tab/>
        <w:tab/>
        <w:tab/>
        <w:tab/>
        <w:tab/>
        <w:tab/>
        <w:tab/>
        <w:t xml:space="preserve">     0</w:t>
        <w:tab/>
        <w:tab/>
        <w:t xml:space="preserve">  0</w:t>
        <w:tab/>
        <w:t xml:space="preserve">   0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Customer</w:t>
        <w:tab/>
        <w:tab/>
        <w:tab/>
        <w:tab/>
        <w:tab/>
        <w:tab/>
        <w:t xml:space="preserve"> </w:t>
        <w:tab/>
        <w:t xml:space="preserve">   56</w:t>
        <w:tab/>
        <w:tab/>
        <w:t xml:space="preserve">  9</w:t>
        <w:tab/>
        <w:t xml:space="preserve">  47</w:t>
      </w:r>
    </w:p>
    <w:p>
      <w:pPr>
        <w:pStyle w:val="BodyText2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77862613"/>
      <w:bookmarkEnd w:id="5"/>
      <w:r>
        <w:rPr/>
        <w:t>E  System Issues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There were no system issues that interfered with trading today.</w:t>
      </w:r>
      <w:bookmarkStart w:id="6" w:name="__RefHeading___Toc477862615"/>
      <w:r>
        <w:br w:type="page"/>
      </w:r>
    </w:p>
    <w:p>
      <w:pPr>
        <w:pStyle w:val="Heading2"/>
        <w:ind w:hanging="0" w:start="0"/>
        <w:rPr/>
      </w:pPr>
      <w:r>
        <w:rPr/>
        <w:t>F</w:t>
        <w:tab/>
        <w:t>Customer Activity</w:t>
      </w:r>
      <w:bookmarkEnd w:id="6"/>
      <w:r>
        <w:rPr/>
        <w:t xml:space="preserve">  Top Customers by Commodity (Today)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Page 1 of 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80"/>
        <w:gridCol w:w="630"/>
        <w:gridCol w:w="1440"/>
        <w:gridCol w:w="504"/>
        <w:gridCol w:w="1476"/>
        <w:gridCol w:w="630"/>
      </w:tblGrid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03/23/00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89.8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17,686,388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49,878,687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80.5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12,886,500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36,550,796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89.7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1,017,069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2,895,595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80.9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6,449,675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Cook Inlet Energy Supply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94.5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1,218,815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3,376,107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1,952,713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2,091,003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980,046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1,292,500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2,757,180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1,432,500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3,196,565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1,099,334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3,289,829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Global Trading Li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2,615,202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El Paso Merchant Energy,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48.1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8,326,800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2,916,060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3,472,440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Power Marketing, I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42.1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6,766,600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8,559,160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6"/>
                <w:lang w:eastAsia="en-US"/>
              </w:rPr>
              <w:footnoteReference w:id="10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10,650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188,966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44,952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Bewag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30,554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7.1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387,928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29,405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365,444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44,640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1,554,630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447,858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Bank of America, National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3,510,886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2,056,000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7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50"/>
        <w:gridCol w:w="1073"/>
        <w:gridCol w:w="547"/>
        <w:gridCol w:w="1303"/>
        <w:gridCol w:w="799"/>
        <w:gridCol w:w="868"/>
        <w:gridCol w:w="616"/>
      </w:tblGrid>
      <w:tr>
        <w:trPr>
          <w:trHeight w:val="209" w:hRule="atLeast"/>
        </w:trPr>
        <w:tc>
          <w:tcPr>
            <w:tcW w:w="4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3/23/00</w:t>
            </w:r>
          </w:p>
        </w:tc>
        <w:tc>
          <w:tcPr>
            <w:tcW w:w="54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0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68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3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263"/>
        <w:gridCol w:w="83"/>
        <w:gridCol w:w="734"/>
        <w:gridCol w:w="630"/>
        <w:gridCol w:w="504"/>
        <w:gridCol w:w="936"/>
        <w:gridCol w:w="450"/>
        <w:gridCol w:w="492"/>
        <w:gridCol w:w="948"/>
        <w:gridCol w:w="450"/>
      </w:tblGrid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6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86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9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683,125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80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/>
      </w:r>
    </w:p>
    <w:tbl>
      <w:tblPr>
        <w:tblW w:w="999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10"/>
        <w:gridCol w:w="1006"/>
        <w:gridCol w:w="473"/>
        <w:gridCol w:w="1491"/>
        <w:gridCol w:w="535"/>
        <w:gridCol w:w="1445"/>
        <w:gridCol w:w="630"/>
      </w:tblGrid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ind w:firstLine="226" w:start="-226" w:end="0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35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35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45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711,787,103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50.6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1,885,531,896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49.9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1,130,835,758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2,985,309,751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69.2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55,751,657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68.4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148,272,873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70.1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703,405,968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1,908,529,705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66.9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64,676,910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42.4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173,919,145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42.6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7,675,000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14,915,962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69.6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4,712,500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40.9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9,249,517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2,032,500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46.5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4,494,144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46.0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50,977,500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101,514,033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36,567,500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54.8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71,862,467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54.7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32,507,500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66,155,264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48.5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35,297,500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8.7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67,077,006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9.1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15,957,500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31,682,619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73.1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44,640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37.3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1,554,630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40.5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4,270,200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27.2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146,766,570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25.4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1,552,400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30.9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41,590,360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30.4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3,001,600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33.2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132,038,260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2,051,600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49.1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76,771,480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54.7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2,210,450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68,847,912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6"/>
                <w:lang w:eastAsia="en-US"/>
              </w:rPr>
              <w:footnoteReference w:id="11"/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692,040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37.1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12,242,471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745,740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49.2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12,625,638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45.1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613,850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10,796,833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53.5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1,620,405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3.4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22,321,061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3.4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277,810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97.6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4,004,331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97.9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275,310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23.5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3,501,889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18.6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4,500,770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159,509,808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47.9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2,894,399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108,985,573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3,388,320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42.2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118,183,061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42.5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12,125,751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304,671,340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17.2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7,999,000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62.1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55,112,788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23.2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9,404,000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184,556,245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17.7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263,023,418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73.1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761,000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53.6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205,524,000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53.4</w:t>
            </w:r>
          </w:p>
        </w:tc>
      </w:tr>
      <w:tr>
        <w:trPr>
          <w:trHeight w:val="197" w:hRule="atLeast"/>
        </w:trPr>
        <w:tc>
          <w:tcPr>
            <w:tcW w:w="44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481,000 </w:t>
            </w:r>
          </w:p>
        </w:tc>
        <w:tc>
          <w:tcPr>
            <w:tcW w:w="5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4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134,357,000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57.6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Top Customers by Commodity (Life to Date)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401"/>
        <w:gridCol w:w="794"/>
        <w:gridCol w:w="1581"/>
        <w:gridCol w:w="955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55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55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6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810"/>
        <w:gridCol w:w="630"/>
        <w:gridCol w:w="1440"/>
        <w:gridCol w:w="794"/>
        <w:gridCol w:w="1456"/>
        <w:gridCol w:w="81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Company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137,000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60.9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65,311,860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6,312,906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Landmark Chemicals S.A.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22,328,000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67.3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1,652,250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12,383,689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902,250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45.7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9,520,500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782,250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4,592,156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23.5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18.6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7,692,750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7,322,375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24.2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3,251,050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1,500,750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622" w:right="1196" w:gutter="0" w:header="0" w:top="1440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American Natural Gas, however Altrade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only offers physical products.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however NGX only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Altrade provides both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Australian Power counterparty information will be available the week of March 27</w:t>
      </w:r>
      <w:r>
        <w:rPr>
          <w:rFonts w:cs="Arial" w:ascii="Arial" w:hAnsi="Arial"/>
          <w:sz w:val="18"/>
          <w:vertAlign w:val="superscript"/>
        </w:rPr>
        <w:t>th</w:t>
      </w:r>
      <w:r>
        <w:rPr>
          <w:rFonts w:cs="Arial" w:ascii="Arial" w:hAnsi="Arial"/>
          <w:sz w:val="18"/>
        </w:rPr>
        <w:t>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  <w:footnote w:id="11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Australian Power counterparty information will be available the week of March 27</w:t>
      </w:r>
      <w:r>
        <w:rPr>
          <w:rFonts w:cs="Arial" w:ascii="Arial" w:hAnsi="Arial"/>
          <w:sz w:val="18"/>
          <w:vertAlign w:val="superscript"/>
        </w:rPr>
        <w:t>th</w:t>
      </w:r>
      <w:r>
        <w:rPr>
          <w:rFonts w:cs="Arial" w:ascii="Arial" w:hAnsi="Arial"/>
          <w:sz w:val="18"/>
        </w:rPr>
        <w:t>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wmf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2000-03-24T12:16:00Z</dcterms:created>
  <dc:creator>rshults</dc:creator>
  <dc:description/>
  <dc:language>en-CA</dc:language>
  <cp:lastModifiedBy>csoutha</cp:lastModifiedBy>
  <cp:lastPrinted>2000-03-24T10:34:00Z</cp:lastPrinted>
  <dcterms:modified xsi:type="dcterms:W3CDTF">2000-03-24T15:14:00Z</dcterms:modified>
  <cp:revision>22</cp:revision>
  <dc:subject/>
  <dc:title/>
</cp:coreProperties>
</file>