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29785598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September 6,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  <w:t>6</w:t>
          </w:r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  <w:tab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20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2,519</w:t>
        <w:tab/>
        <w:t>278,070</w:t>
        <w:tab/>
        <w:t>283,071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1,302,222,585</w:t>
        <w:tab/>
        <w:t>137,273,371,224</w:t>
        <w:tab/>
        <w:t>138,533,029,183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7200" w:leader="none"/>
          <w:tab w:val="decimal" w:pos="927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9,687,845,773</w:t>
        <w:tab/>
        <w:t>9,783,597,265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0</w:t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470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1,079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External Users logged in with Execution rights  </w:t>
        <w:tab/>
        <w:t>2,381</w:t>
      </w:r>
    </w:p>
    <w:p>
      <w:pPr>
        <w:pStyle w:val="Normal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External Guest Users (no Transaction rights)</w:t>
        <w:tab/>
        <w:t>44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Internal Users logged in (Guest &amp; Execution)</w:t>
        <w:tab/>
        <w:t>157</w:t>
        <w:tab/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persons logged in today</w:t>
        <w:tab/>
        <w:t>2,582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412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2,519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Body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7115" cy="652653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652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116840</wp:posOffset>
            </wp:positionV>
            <wp:extent cx="6309360" cy="351599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51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B </w:t>
        <w:tab/>
        <w:t>Trading Activity Average Per Day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42355" cy="7601585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760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83984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83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3" w:name="__RefHeading___Toc487876799"/>
      <w:bookmarkEnd w:id="3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0"/>
        <w:gridCol w:w="1620"/>
        <w:gridCol w:w="990"/>
        <w:gridCol w:w="1260"/>
        <w:gridCol w:w="995"/>
        <w:gridCol w:w="1435"/>
        <w:gridCol w:w="1515"/>
      </w:tblGrid>
      <w:tr>
        <w:trPr/>
        <w:tc>
          <w:tcPr>
            <w:tcW w:w="18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995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515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9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515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294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1,802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2,968,824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372,294,927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187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329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2,420,500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25,429,674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198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2,493,025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1,470,000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2,350,000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HDD/CDD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2,000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10,000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108,962,200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689,839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1,201,500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955,161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 xml:space="preserve">.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FootnoteText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800"/>
      <w:bookmarkEnd w:id="4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430 transaction attempts that did not succeed which represents 15% of all transaction attempts.  Of these, 403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403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9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18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7876801"/>
      <w:bookmarkEnd w:id="5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1,182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1,388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4,356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568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6,312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86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354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3</w:t>
        <w:tab/>
        <w:t>2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31</w:t>
        <w:tab/>
        <w:t>9</w:t>
        <w:tab/>
        <w:t>22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15</w:t>
        <w:tab/>
        <w:t>4</w:t>
        <w:tab/>
        <w:t>11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36</w:t>
        <w:tab/>
        <w:t>7</w:t>
        <w:tab/>
        <w:t>29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13</w:t>
        <w:tab/>
        <w:t>0</w:t>
        <w:tab/>
        <w:t>13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2"/>
      <w:bookmarkEnd w:id="6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7" w:name="__RefHeading___Toc487876803"/>
      <w:bookmarkEnd w:id="7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8" w:name="__RefHeading___Toc487876804"/>
      <w:bookmarkEnd w:id="8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/>
      </w:pPr>
      <w:r>
        <w:rPr>
          <w:rFonts w:eastAsia="Arial"/>
        </w:rPr>
        <w:t xml:space="preserve">     </w:t>
      </w:r>
      <w:r>
        <w:rPr/>
        <w:tab/>
      </w:r>
      <w:r>
        <w:rPr>
          <w:b w:val="false"/>
        </w:rPr>
        <w:t>Page 1 of</w:t>
      </w:r>
      <w:r>
        <w:rPr/>
        <w:t xml:space="preserve"> </w:t>
      </w:r>
      <w:r>
        <w:rPr>
          <w:b w:val="false"/>
        </w:rPr>
        <w:t>2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347"/>
        <w:gridCol w:w="633"/>
        <w:gridCol w:w="1710"/>
        <w:gridCol w:w="633"/>
        <w:gridCol w:w="1617"/>
        <w:gridCol w:w="618"/>
      </w:tblGrid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09/06/00</w:t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347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1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99.2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1,082,025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5,563,532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86.8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30,619,017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87,703,965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16,595,979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70.5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45,398,749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37,055,000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99,868,613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13,903,492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27,478,810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98.8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4,741,800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17,876,801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1,114,685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5,112,838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90.6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308,041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1,404,949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279,606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1,288,462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Canada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2,218,501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2,382,519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39,705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26,794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64,917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64,917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767,458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763,393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1,370,951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36,900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UK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37,763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294,800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33.6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15,143,000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40.9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105,200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69.6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4,637,400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107,600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4,789,000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359,200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20,124,160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247,000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61.8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144,400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15,779,600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59.1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6,046,400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357,600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1.6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Power Marketing,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3,790,600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27.6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4,375,000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620"/>
        <w:gridCol w:w="1080"/>
      </w:tblGrid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108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990"/>
        <w:gridCol w:w="633"/>
        <w:gridCol w:w="1617"/>
        <w:gridCol w:w="633"/>
        <w:gridCol w:w="1617"/>
        <w:gridCol w:w="618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139,800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2,985,885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E.ON Energie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97,122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91.4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246,003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13,806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Elektrizitatswerk der Stadt Bern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65.2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1,841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171,784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560,977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Alfa Kraft AB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197,911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ABB Financial Energy AB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1,250,222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262,080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6,180,751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94.4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24.2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21,034,650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73.3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16,408,201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65.5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10,881,000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Contichem LPG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2,607,000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1,272,000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Trafigura Derivatives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775,013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592,201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217,000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5,334,868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23,250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575,903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Marketing and Trade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161,250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587,100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514,500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1010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990"/>
        <w:gridCol w:w="640"/>
        <w:gridCol w:w="1610"/>
        <w:gridCol w:w="640"/>
        <w:gridCol w:w="1700"/>
        <w:gridCol w:w="624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2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11,696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2,351,395,923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58.5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3,996,832,851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11,456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4,954,896,189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78.2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11,461,938,321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10,684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1,539,051,056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3,257,355,030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9,263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198,672,521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54.1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707,831,188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9,118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3,484,141,111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36.3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5,183,034,492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Partnership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90.9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1,289,682,909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3,948,638,915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3,341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570,491,031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1,397,459,805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3,049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184,191,403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75.5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598,929,641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2,102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83,172,362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275,816,714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1,692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22,250,392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54,605,516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14,795,000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37,724,181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22,502,500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41.3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61,170,346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5,495,000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14,695,501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1,705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198,802,500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489,887,543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146,680,000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87.6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382,621,756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100,930,000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257,720,997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109,575,000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19.0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274,621,675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90,210,000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215,711,989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306,884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BROADWING COMMUNICATION SERVICES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1,179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19,635,700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17.2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1,088,235,960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1,070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2,675,200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30.5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87,001,120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13,130,400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534,109,220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6,021,200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32.1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273,822,528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8,171,200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350,075,400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9,422,000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38.6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768,255,804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5,111,152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31.4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365,210,548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6,558,000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50.9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513,684,556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Citizens Power Sales LLC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3,068,600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37.2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269,262,028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1,965,800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8.3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128,887,180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Marketing Pty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234,180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43.1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4,976,329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20,265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391,249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8.5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924,096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Osterreichische Elektrizitaetswirtschafts AG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40.9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341,460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48.5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6,686,679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240,420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74.1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4,916,212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E&amp;T Energie Handelsgesellschaft m.b.H.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129,600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11.8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1,794,084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Trading &amp; Marketing B.V.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243,160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28.2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7,069,480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2.7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1,327,708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107,600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17.0</w:t>
            </w:r>
          </w:p>
        </w:tc>
        <w:tc>
          <w:tcPr>
            <w:tcW w:w="17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3,432,148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19.8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620"/>
        <w:gridCol w:w="473"/>
        <w:gridCol w:w="1687"/>
        <w:gridCol w:w="473"/>
        <w:gridCol w:w="186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86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9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900"/>
        <w:gridCol w:w="1080"/>
        <w:gridCol w:w="1620"/>
        <w:gridCol w:w="640"/>
        <w:gridCol w:w="1790"/>
        <w:gridCol w:w="624"/>
      </w:tblGrid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717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65.7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5,566,308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99,066,683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609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6,495,912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126,416,254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Stromhandel mbH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472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56.1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2,406,840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46,738,609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44.7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54,680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1,377,804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36.4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32.1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574,443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Group, Inc.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7.6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94,391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102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53.1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544,590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32.9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11,433,785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34.6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260,100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67.3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5,196,577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69.1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Aare-Tessin AG fur Elektrizitat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36.7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163,800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53.4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3,199,861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334,528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18.6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17,920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763,751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21.3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TXU Europe Energy Trading Ltd.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67,440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2,039,399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89.4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2,973,935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72.3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37,638,584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199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98.5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2,537,601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31,273,219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178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99.4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2,133,563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97.5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23,516,842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559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64.8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20,964,146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56.1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656,627,341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210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50.5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6,584,232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198,172,882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40.8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164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8,029,880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260,500,825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38.7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3,375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90.9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95,039,000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77.6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2,718,831,253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2,081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86,815,000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61.4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2,493,173,804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312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25.2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33,614,150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14.6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791,577,353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14.1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261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84.5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3,843,000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56.9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132,132,839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80.1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200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2,986,000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104,338,000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62.6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150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76.9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2,434,000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48.1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88,555,500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Diamond-Koch, LP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2,410,000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Company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4,814,446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76.2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8,911,427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6,000,000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2,460,000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62.5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61.3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28,792,608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1,625,000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87.1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21,688,820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Inc.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55.3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18,147,949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57.5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260"/>
        <w:gridCol w:w="473"/>
        <w:gridCol w:w="2047"/>
        <w:gridCol w:w="473"/>
        <w:gridCol w:w="177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9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80"/>
        <w:gridCol w:w="640"/>
        <w:gridCol w:w="1880"/>
        <w:gridCol w:w="640"/>
        <w:gridCol w:w="1790"/>
        <w:gridCol w:w="624"/>
      </w:tblGrid>
      <w:tr>
        <w:trPr/>
        <w:tc>
          <w:tcPr>
            <w:tcW w:w="354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Coal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86.7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7,601,000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112,558,826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82.1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63.1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4,720,250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52.4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88,879,148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57.6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77.1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4,830,750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40.5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72,160,260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2,386,500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Heidelberger Fuels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177,500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182,750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Bocimar NV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777,750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Egon Oldenorff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36.2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31.5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26,220,500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63.6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54.3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10,661,100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40.3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9,816,975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25,247,550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6.3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4,786,750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6.2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90.3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46.1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27,796,400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15.9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98.9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72.9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23,508,600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31.8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84.9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16,083,800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3,091,840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35.4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244,744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597,164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International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259,750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Division, A Division of Koch Carbon In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2,835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5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88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9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Pete Berzins (713-345-7597)</w:t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2240" w:h="15840"/>
      <w:pgMar w:left="1584" w:right="1350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55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Altrade offers both financial and physical products for North American Natural Gas. 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information was unavailable. 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EnronnOnline separates Crude and Liquids from LPG’s, however Altrade reports Crude, Liquids, and LPG’s in their  transaction and volume information.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2000-09-07T09:53:00Z</dcterms:created>
  <dc:creator>rshults</dc:creator>
  <dc:description/>
  <dc:language>en-CA</dc:language>
  <cp:lastModifiedBy>tsweitz</cp:lastModifiedBy>
  <cp:lastPrinted>2000-09-07T11:37:00Z</cp:lastPrinted>
  <dcterms:modified xsi:type="dcterms:W3CDTF">2000-09-07T16:16:00Z</dcterms:modified>
  <cp:revision>12</cp:revision>
  <dc:subject/>
  <dc:title/>
</cp:coreProperties>
</file>