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png" ContentType="image/png"/>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object w:dxaOrig="5791" w:dyaOrig="7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32.15pt;width:370.8pt;height:50.9pt;mso-wrap-distance-left:9.05pt;mso-wrap-distance-right:9.05pt;mso-position-horizontal-relative:text;mso-position-vertical-relative:text" filled="f" o:ole="">
            <v:imagedata r:id="rId3" o:title=""/>
            <w10:wrap type="topAndBottom"/>
          </v:shape>
          <o:OLEObject Type="Embed" ProgID="" ShapeID="ole_rId2" DrawAspect="Content" ObjectID="_1609090791" r:id="rId2"/>
        </w:objec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rPr>
        <w:drawing>
          <wp:inline distT="0" distB="0" distL="0" distR="0">
            <wp:extent cx="1236345" cy="123253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4"/>
                    <a:srcRect l="-39" t="-39" r="-39" b="-39"/>
                    <a:stretch>
                      <a:fillRect/>
                    </a:stretch>
                  </pic:blipFill>
                  <pic:spPr bwMode="auto">
                    <a:xfrm>
                      <a:off x="0" y="0"/>
                      <a:ext cx="1236345" cy="1232535"/>
                    </a:xfrm>
                    <a:prstGeom prst="rect">
                      <a:avLst/>
                    </a:prstGeom>
                    <a:noFill/>
                  </pic:spPr>
                </pic:pic>
              </a:graphicData>
            </a:graphic>
          </wp:inline>
        </w:drawing>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40"/>
        </w:rPr>
      </w:pPr>
      <w:r>
        <w:rPr>
          <w:rFonts w:cs="Arial" w:ascii="Arial" w:hAnsi="Arial"/>
          <w:b/>
          <w:sz w:val="40"/>
        </w:rPr>
        <w:t>Management Report</w:t>
      </w:r>
    </w:p>
    <w:p>
      <w:pPr>
        <w:pStyle w:val="Normal"/>
        <w:rPr>
          <w:rFonts w:ascii="Arial" w:hAnsi="Arial" w:cs="Arial"/>
          <w:b/>
          <w:sz w:val="40"/>
        </w:rPr>
      </w:pPr>
      <w:r>
        <w:rPr>
          <w:rFonts w:cs="Arial" w:ascii="Arial" w:hAnsi="Arial"/>
          <w:b/>
          <w:sz w:val="40"/>
        </w:rPr>
      </w:r>
    </w:p>
    <w:p>
      <w:pPr>
        <w:pStyle w:val="Normal"/>
        <w:rPr>
          <w:rFonts w:ascii="Arial" w:hAnsi="Arial" w:cs="Arial"/>
          <w:b/>
          <w:sz w:val="28"/>
        </w:rPr>
      </w:pPr>
      <w:r>
        <w:rPr>
          <w:rFonts w:cs="Arial" w:ascii="Arial" w:hAnsi="Arial"/>
          <w:b/>
          <w:sz w:val="28"/>
        </w:rPr>
        <w:t>June 26, 2000</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4"/>
        <w:ind w:hanging="0" w:start="0"/>
        <w:rPr>
          <w:rFonts w:ascii="Arial" w:hAnsi="Arial" w:cs="Arial"/>
          <w:sz w:val="22"/>
        </w:rPr>
      </w:pPr>
      <w:r>
        <w:rPr>
          <w:rFonts w:cs="Arial"/>
          <w:sz w:val="22"/>
        </w:rPr>
      </w:r>
    </w:p>
    <w:p>
      <w:pPr>
        <w:pStyle w:val="Heading4"/>
        <w:ind w:hanging="0" w:start="0"/>
        <w:rPr/>
      </w:pPr>
      <w:r>
        <w:rPr/>
        <w:t>TABLE OF CONTENTS</w:t>
      </w:r>
    </w:p>
    <w:p>
      <w:pPr>
        <w:pStyle w:val="Normal"/>
        <w:rPr>
          <w:rFonts w:ascii="Arial" w:hAnsi="Arial" w:cs="Arial"/>
          <w:sz w:val="22"/>
        </w:rPr>
      </w:pPr>
      <w:r>
        <w:rPr>
          <w:rFonts w:cs="Arial" w:ascii="Arial" w:hAnsi="Arial"/>
          <w:sz w:val="22"/>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Executive Summary</w:t>
            <w:tab/>
          </w:r>
          <w:hyperlink w:anchor="__RefHeading___Toc480781114">
            <w:r>
              <w:rPr>
                <w:rStyle w:val="IndexLink"/>
              </w:rPr>
              <w:t>3</w:t>
            </w:r>
          </w:hyperlink>
        </w:p>
        <w:p>
          <w:pPr>
            <w:pStyle w:val="TOC1"/>
            <w:rPr/>
          </w:pPr>
          <w:r>
            <w:rPr/>
            <w:t>Performance Indicators</w:t>
            <w:tab/>
          </w:r>
          <w:hyperlink w:anchor="__RefHeading___Toc480781115">
            <w:r>
              <w:rPr>
                <w:rStyle w:val="IndexLink"/>
              </w:rPr>
              <w:t>4</w:t>
            </w:r>
          </w:hyperlink>
        </w:p>
        <w:p>
          <w:pPr>
            <w:pStyle w:val="TOC2"/>
            <w:rPr/>
          </w:pPr>
          <w:r>
            <w:rPr/>
            <w:t>A</w:t>
            <w:tab/>
            <w:t xml:space="preserve">  Transaction Summary</w:t>
            <w:tab/>
          </w:r>
          <w:hyperlink w:anchor="__RefHeading___Toc480781116">
            <w:r>
              <w:rPr>
                <w:rStyle w:val="IndexLink"/>
              </w:rPr>
              <w:t>4</w:t>
            </w:r>
          </w:hyperlink>
        </w:p>
        <w:p>
          <w:pPr>
            <w:pStyle w:val="TOC2"/>
            <w:rPr/>
          </w:pPr>
          <w:r>
            <w:rPr/>
            <w:t>B</w:t>
            <w:tab/>
            <w:t xml:space="preserve">  Competitor Information</w:t>
            <w:tab/>
          </w:r>
          <w:hyperlink w:anchor="__RefHeading___Toc480781117">
            <w:r>
              <w:rPr>
                <w:rStyle w:val="IndexLink"/>
              </w:rPr>
              <w:t>5</w:t>
            </w:r>
          </w:hyperlink>
        </w:p>
        <w:p>
          <w:pPr>
            <w:pStyle w:val="TOC2"/>
            <w:tabs>
              <w:tab w:val="clear" w:pos="360"/>
              <w:tab w:val="right" w:pos="7920" w:leader="dot"/>
            </w:tabs>
            <w:rPr/>
          </w:pPr>
          <w:r>
            <w:rPr/>
            <w:t>C   Failed Transactions</w:t>
            <w:tab/>
          </w:r>
          <w:hyperlink w:anchor="__RefHeading___Toc480781118">
            <w:r>
              <w:rPr>
                <w:rStyle w:val="IndexLink"/>
              </w:rPr>
              <w:t>6</w:t>
            </w:r>
          </w:hyperlink>
        </w:p>
        <w:p>
          <w:pPr>
            <w:pStyle w:val="TOC2"/>
            <w:rPr/>
          </w:pPr>
          <w:r>
            <w:rPr/>
            <w:t xml:space="preserve">D   Number of Counterparties </w:t>
            <w:tab/>
          </w:r>
          <w:hyperlink w:anchor="__RefHeading___Toc480781119">
            <w:r>
              <w:rPr>
                <w:rStyle w:val="IndexLink"/>
              </w:rPr>
              <w:t>6</w:t>
            </w:r>
          </w:hyperlink>
        </w:p>
        <w:p>
          <w:pPr>
            <w:pStyle w:val="TOC2"/>
            <w:rPr/>
          </w:pPr>
          <w:r>
            <w:rPr/>
            <w:t>E   Auctions</w:t>
            <w:tab/>
          </w:r>
          <w:hyperlink w:anchor="__RefHeading___Toc480781120">
            <w:r>
              <w:rPr>
                <w:rStyle w:val="IndexLink"/>
              </w:rPr>
              <w:t>6</w:t>
            </w:r>
          </w:hyperlink>
        </w:p>
        <w:p>
          <w:pPr>
            <w:pStyle w:val="TOC2"/>
            <w:rPr/>
          </w:pPr>
          <w:r>
            <w:rPr/>
            <w:t>F    System Issues</w:t>
            <w:tab/>
          </w:r>
          <w:hyperlink w:anchor="__RefHeading___Toc480781121">
            <w:r>
              <w:rPr>
                <w:rStyle w:val="IndexLink"/>
              </w:rPr>
              <w:t>6</w:t>
            </w:r>
          </w:hyperlink>
        </w:p>
        <w:p>
          <w:pPr>
            <w:pStyle w:val="TOC2"/>
            <w:rPr/>
          </w:pPr>
          <w:r>
            <w:rPr/>
            <w:t xml:space="preserve">G   Customer Activity  </w:t>
            <w:tab/>
          </w:r>
          <w:hyperlink w:anchor="__RefHeading___Toc480781122">
            <w:r>
              <w:rPr>
                <w:rStyle w:val="IndexLink"/>
              </w:rPr>
              <w:t>7</w:t>
            </w:r>
          </w:hyperlink>
          <w:r>
            <w:rPr>
              <w:rStyle w:val="IndexLink"/>
            </w:rPr>
            <w:fldChar w:fldCharType="end"/>
          </w:r>
        </w:p>
      </w:sdtContent>
    </w:sdt>
    <w:p>
      <w:pPr>
        <w:pStyle w:val="Normal"/>
        <w:ind w:end="-270"/>
        <w:rPr>
          <w:rFonts w:ascii="Arial" w:hAnsi="Arial" w:cs="Arial"/>
          <w:b/>
          <w:caps/>
          <w:sz w:val="24"/>
          <w:lang w:val="en-CA"/>
        </w:rPr>
      </w:pPr>
      <w:r>
        <w:rPr>
          <w:rFonts w:cs="Arial" w:ascii="Arial" w:hAnsi="Arial"/>
          <w:b/>
          <w:caps/>
          <w:sz w:val="24"/>
          <w:lang w:val="en-CA"/>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r>
        <w:br w:type="page"/>
      </w:r>
    </w:p>
    <w:p>
      <w:pPr>
        <w:pStyle w:val="Normal"/>
        <w:rPr>
          <w:rFonts w:ascii="Arial" w:hAnsi="Arial" w:cs="Arial"/>
          <w:b/>
          <w:caps/>
          <w:sz w:val="24"/>
        </w:rPr>
      </w:pPr>
      <w:r>
        <w:rPr>
          <w:rFonts w:cs="Arial" w:ascii="Arial" w:hAnsi="Arial"/>
          <w:b/>
          <w:caps/>
          <w:sz w:val="24"/>
        </w:rPr>
      </w:r>
    </w:p>
    <w:p>
      <w:pPr>
        <w:pStyle w:val="Normal"/>
        <w:rPr>
          <w:rFonts w:ascii="Arial" w:hAnsi="Arial" w:cs="Arial"/>
          <w:b/>
          <w:caps/>
          <w:sz w:val="24"/>
        </w:rPr>
      </w:pPr>
      <w:r>
        <w:rPr>
          <w:rFonts w:cs="Arial" w:ascii="Arial" w:hAnsi="Arial"/>
          <w:b/>
          <w:caps/>
          <w:sz w:val="24"/>
        </w:rPr>
      </w:r>
    </w:p>
    <w:p>
      <w:pPr>
        <w:pStyle w:val="Heading1"/>
        <w:pBdr>
          <w:top w:val="single" w:sz="4" w:space="1" w:color="000000"/>
          <w:left w:val="single" w:sz="4" w:space="4" w:color="000000"/>
          <w:bottom w:val="single" w:sz="4" w:space="1" w:color="000000"/>
          <w:right w:val="single" w:sz="4" w:space="4" w:color="000000"/>
        </w:pBdr>
        <w:spacing w:lineRule="auto" w:line="480"/>
        <w:ind w:hanging="0" w:start="0"/>
        <w:rPr>
          <w:sz w:val="32"/>
        </w:rPr>
      </w:pPr>
      <w:bookmarkStart w:id="0" w:name="__RefHeading___Toc480781114"/>
      <w:bookmarkEnd w:id="0"/>
      <w:r>
        <w:rPr>
          <w:sz w:val="32"/>
        </w:rPr>
        <w:t>Executive Summary</w:t>
      </w:r>
    </w:p>
    <w:p>
      <w:pPr>
        <w:pStyle w:val="Normal"/>
        <w:rPr>
          <w:rFonts w:ascii="Arial" w:hAnsi="Arial" w:cs="Arial"/>
        </w:rPr>
      </w:pPr>
      <w:r>
        <w:rPr>
          <w:rFonts w:cs="Arial" w:ascii="Arial" w:hAnsi="Arial"/>
        </w:rPr>
      </w:r>
    </w:p>
    <w:p>
      <w:pPr>
        <w:pStyle w:val="Normal"/>
        <w:tabs>
          <w:tab w:val="clear" w:pos="720"/>
          <w:tab w:val="decimal" w:pos="6804" w:leader="none"/>
          <w:tab w:val="decimal" w:pos="9270" w:leader="none"/>
        </w:tabs>
        <w:rPr>
          <w:rFonts w:ascii="Arial" w:hAnsi="Arial" w:cs="Arial"/>
          <w:b/>
          <w:color w:val="FF0000"/>
          <w:sz w:val="22"/>
        </w:rPr>
      </w:pPr>
      <w:r>
        <w:rPr>
          <w:rFonts w:cs="Arial" w:ascii="Arial" w:hAnsi="Arial"/>
          <w:b/>
          <w:color w:val="FF0000"/>
          <w:sz w:val="22"/>
        </w:rPr>
      </w:r>
    </w:p>
    <w:p>
      <w:pPr>
        <w:pStyle w:val="Normal"/>
        <w:tabs>
          <w:tab w:val="clear" w:pos="720"/>
          <w:tab w:val="decimal" w:pos="6804" w:leader="none"/>
          <w:tab w:val="decimal" w:pos="9356" w:leader="none"/>
        </w:tabs>
        <w:rPr>
          <w:rFonts w:ascii="Arial" w:hAnsi="Arial" w:cs="Arial"/>
          <w:b/>
          <w:color w:val="FF0000"/>
          <w:sz w:val="22"/>
        </w:rPr>
      </w:pPr>
      <w:r>
        <w:rPr>
          <w:rFonts w:cs="Arial" w:ascii="Arial" w:hAnsi="Arial"/>
          <w:b/>
          <w:color w:val="FF0000"/>
          <w:sz w:val="22"/>
        </w:rPr>
      </w:r>
    </w:p>
    <w:p>
      <w:pPr>
        <w:pStyle w:val="Normal"/>
        <w:tabs>
          <w:tab w:val="clear" w:pos="720"/>
          <w:tab w:val="decimal" w:pos="5040" w:leader="none"/>
          <w:tab w:val="decimal" w:pos="6930" w:leader="none"/>
          <w:tab w:val="decimal" w:pos="8820" w:leader="none"/>
        </w:tabs>
        <w:ind w:end="-1440"/>
        <w:rPr/>
      </w:pPr>
      <w:r>
        <w:rPr>
          <w:rFonts w:cs="Arial" w:ascii="Arial" w:hAnsi="Arial"/>
          <w:b/>
          <w:color w:val="FF0000"/>
          <w:sz w:val="22"/>
        </w:rPr>
        <w:t>Total</w:t>
      </w:r>
      <w:r>
        <w:rPr>
          <w:rFonts w:cs="Arial" w:ascii="Arial" w:hAnsi="Arial"/>
          <w:b/>
          <w:color w:val="FF0000"/>
        </w:rPr>
        <w:t xml:space="preserve"> </w:t>
        <w:tab/>
        <w:t>Today</w:t>
        <w:tab/>
        <w:t>Year To Date</w:t>
        <w:tab/>
        <w:t>Life To Date</w:t>
      </w:r>
    </w:p>
    <w:p>
      <w:pPr>
        <w:pStyle w:val="Heading5"/>
        <w:tabs>
          <w:tab w:val="clear" w:pos="6804"/>
          <w:tab w:val="clear" w:pos="9356"/>
          <w:tab w:val="decimal" w:pos="5040" w:leader="none"/>
          <w:tab w:val="decimal" w:pos="6930" w:leader="none"/>
          <w:tab w:val="decimal" w:pos="8820" w:leader="none"/>
          <w:tab w:val="decimal" w:pos="9270" w:leader="none"/>
        </w:tabs>
        <w:ind w:hanging="0" w:start="0" w:end="-1350"/>
        <w:jc w:val="both"/>
        <w:rPr>
          <w:rFonts w:ascii="Arial" w:hAnsi="Arial" w:cs="Arial"/>
          <w:b w:val="false"/>
          <w:color w:val="FF0000"/>
          <w:sz w:val="20"/>
        </w:rPr>
      </w:pPr>
      <w:r>
        <w:rPr>
          <w:rFonts w:cs="Arial"/>
          <w:b w:val="false"/>
          <w:color w:val="FF0000"/>
          <w:sz w:val="20"/>
        </w:rPr>
      </w:r>
    </w:p>
    <w:p>
      <w:pPr>
        <w:pStyle w:val="Heading5"/>
        <w:tabs>
          <w:tab w:val="clear" w:pos="6804"/>
          <w:tab w:val="clear" w:pos="9356"/>
          <w:tab w:val="decimal" w:pos="5040" w:leader="none"/>
          <w:tab w:val="decimal" w:pos="6930" w:leader="none"/>
          <w:tab w:val="decimal" w:pos="8820" w:leader="none"/>
          <w:tab w:val="decimal" w:pos="9270" w:leader="none"/>
        </w:tabs>
        <w:ind w:hanging="0" w:start="0" w:end="-1350"/>
        <w:jc w:val="both"/>
        <w:rPr>
          <w:sz w:val="20"/>
        </w:rPr>
      </w:pPr>
      <w:r>
        <w:rPr>
          <w:sz w:val="20"/>
        </w:rPr>
        <w:t xml:space="preserve">Number of Transactions </w:t>
        <w:tab/>
        <w:t>2,385</w:t>
        <w:tab/>
        <w:t>165,717</w:t>
        <w:tab/>
        <w:t>170,718</w:t>
      </w:r>
    </w:p>
    <w:p>
      <w:pPr>
        <w:pStyle w:val="Normal"/>
        <w:tabs>
          <w:tab w:val="clear" w:pos="720"/>
          <w:tab w:val="decimal" w:pos="5040" w:leader="none"/>
          <w:tab w:val="decimal" w:pos="6930" w:leader="none"/>
          <w:tab w:val="decimal" w:pos="8820" w:leader="none"/>
          <w:tab w:val="decimal" w:pos="9270" w:leader="none"/>
        </w:tabs>
        <w:ind w:end="-1440"/>
        <w:jc w:val="both"/>
        <w:rPr>
          <w:rFonts w:ascii="Arial" w:hAnsi="Arial" w:cs="Arial"/>
          <w:b/>
          <w:color w:val="FF0000"/>
        </w:rPr>
      </w:pPr>
      <w:r>
        <w:rPr>
          <w:rFonts w:cs="Arial" w:ascii="Arial" w:hAnsi="Arial"/>
          <w:b/>
          <w:color w:val="FF0000"/>
        </w:rPr>
        <w:t xml:space="preserve">Gross Notional Value $ </w:t>
        <w:tab/>
        <w:t>1,161,577,352</w:t>
        <w:tab/>
        <w:t>77,934,052,694</w:t>
        <w:tab/>
        <w:t>79,148,739,267</w:t>
      </w:r>
    </w:p>
    <w:p>
      <w:pPr>
        <w:pStyle w:val="Normal"/>
        <w:tabs>
          <w:tab w:val="clear" w:pos="720"/>
          <w:tab w:val="decimal" w:pos="5400" w:leader="none"/>
          <w:tab w:val="decimal" w:pos="7380" w:leader="none"/>
        </w:tabs>
        <w:ind w:end="-1440"/>
        <w:rPr>
          <w:rFonts w:ascii="Arial" w:hAnsi="Arial" w:cs="Arial"/>
          <w:b/>
          <w:i/>
          <w:i/>
          <w:color w:val="FF0000"/>
          <w:sz w:val="16"/>
        </w:rPr>
      </w:pPr>
      <w:r>
        <w:rPr>
          <w:rFonts w:cs="Arial" w:ascii="Arial" w:hAnsi="Arial"/>
          <w:b/>
          <w:i/>
          <w:color w:val="FF0000"/>
          <w:sz w:val="16"/>
        </w:rPr>
        <w:t>(The above value numbers do not include UK Power due to severe system issues.)</w:t>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tab/>
        <w:tab/>
      </w:r>
    </w:p>
    <w:p>
      <w:pPr>
        <w:pStyle w:val="Normal"/>
        <w:tabs>
          <w:tab w:val="clear" w:pos="720"/>
          <w:tab w:val="decimal" w:pos="6930" w:leader="none"/>
          <w:tab w:val="decimal" w:pos="8820" w:leader="none"/>
        </w:tabs>
        <w:ind w:end="-1440"/>
        <w:rPr>
          <w:rFonts w:ascii="Arial" w:hAnsi="Arial" w:cs="Arial"/>
          <w:b/>
          <w:color w:val="FF0000"/>
        </w:rPr>
      </w:pPr>
      <w:r>
        <w:rPr>
          <w:rFonts w:cs="Arial" w:ascii="Arial" w:hAnsi="Arial"/>
          <w:b/>
          <w:color w:val="FF0000"/>
        </w:rPr>
        <w:t xml:space="preserve">Revenue from Physical flows to date ($) </w:t>
        <w:tab/>
        <w:t>4,760,181,617</w:t>
        <w:tab/>
        <w:t>4,855,933,109</w:t>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ind w:end="-1440"/>
        <w:rPr>
          <w:rFonts w:ascii="Arial" w:hAnsi="Arial" w:cs="Arial"/>
          <w:b/>
          <w:color w:val="FF0000"/>
        </w:rPr>
      </w:pPr>
      <w:r>
        <w:rPr>
          <w:rFonts w:cs="Arial" w:ascii="Arial" w:hAnsi="Arial"/>
          <w:b/>
          <w:color w:val="FF0000"/>
        </w:rPr>
        <w:tab/>
        <w:tab/>
      </w:r>
    </w:p>
    <w:p>
      <w:pPr>
        <w:pStyle w:val="Normal"/>
        <w:tabs>
          <w:tab w:val="clear" w:pos="720"/>
          <w:tab w:val="right" w:pos="5040" w:leader="none"/>
        </w:tabs>
        <w:ind w:end="-1440"/>
        <w:rPr>
          <w:rFonts w:ascii="Arial" w:hAnsi="Arial" w:cs="Arial"/>
          <w:b/>
          <w:color w:val="FF0000"/>
        </w:rPr>
      </w:pPr>
      <w:r>
        <w:rPr>
          <w:rFonts w:cs="Arial" w:ascii="Arial" w:hAnsi="Arial"/>
          <w:b/>
          <w:color w:val="FF0000"/>
        </w:rPr>
        <w:t xml:space="preserve">New Counterparties transacting today </w:t>
        <w:tab/>
        <w:t>5</w:t>
      </w:r>
    </w:p>
    <w:p>
      <w:pPr>
        <w:pStyle w:val="Normal"/>
        <w:tabs>
          <w:tab w:val="clear" w:pos="720"/>
          <w:tab w:val="right" w:pos="5040" w:leader="none"/>
        </w:tabs>
        <w:ind w:end="-1440"/>
        <w:rPr>
          <w:rFonts w:ascii="Arial" w:hAnsi="Arial" w:cs="Arial"/>
          <w:b/>
          <w:color w:val="FF0000"/>
        </w:rPr>
      </w:pPr>
      <w:r>
        <w:rPr>
          <w:rFonts w:cs="Arial" w:ascii="Arial" w:hAnsi="Arial"/>
          <w:b/>
          <w:color w:val="FF0000"/>
        </w:rPr>
        <w:t xml:space="preserve">Counterparties having transacted to date </w:t>
        <w:tab/>
        <w:t>378</w:t>
      </w:r>
    </w:p>
    <w:p>
      <w:pPr>
        <w:pStyle w:val="Normal"/>
        <w:tabs>
          <w:tab w:val="clear" w:pos="720"/>
          <w:tab w:val="right" w:pos="5040" w:leader="none"/>
        </w:tabs>
        <w:ind w:end="-1440"/>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rPr>
          <w:rFonts w:ascii="Arial" w:hAnsi="Arial" w:cs="Arial"/>
          <w:b/>
          <w:color w:val="FF0000"/>
        </w:rPr>
      </w:pPr>
      <w:r>
        <w:rPr>
          <w:rFonts w:cs="Arial" w:ascii="Arial" w:hAnsi="Arial"/>
          <w:b/>
          <w:color w:val="FF0000"/>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Product Offering</w:t>
      </w:r>
    </w:p>
    <w:p>
      <w:pPr>
        <w:pStyle w:val="Normal"/>
        <w:tabs>
          <w:tab w:val="clear" w:pos="720"/>
          <w:tab w:val="decimal" w:pos="5400" w:leader="none"/>
          <w:tab w:val="decimal" w:pos="7380" w:leader="none"/>
        </w:tabs>
        <w:rPr>
          <w:rFonts w:ascii="Arial" w:hAnsi="Arial" w:cs="Arial"/>
          <w:b/>
          <w:color w:val="000000"/>
          <w:sz w:val="22"/>
        </w:rPr>
      </w:pPr>
      <w:r>
        <w:rPr>
          <w:rFonts w:cs="Arial" w:ascii="Arial" w:hAnsi="Arial"/>
          <w:b/>
          <w:color w:val="000000"/>
          <w:sz w:val="22"/>
        </w:rPr>
      </w:r>
    </w:p>
    <w:p>
      <w:pPr>
        <w:pStyle w:val="Normal"/>
        <w:tabs>
          <w:tab w:val="clear" w:pos="720"/>
          <w:tab w:val="right" w:pos="5040" w:leader="none"/>
        </w:tabs>
        <w:rPr>
          <w:rFonts w:ascii="Arial" w:hAnsi="Arial" w:cs="Arial"/>
        </w:rPr>
      </w:pPr>
      <w:r>
        <w:rPr>
          <w:rFonts w:cs="Arial" w:ascii="Arial" w:hAnsi="Arial"/>
        </w:rPr>
        <w:t>Products offered on EnronOnline</w:t>
        <w:tab/>
        <w:t>797</w:t>
      </w:r>
    </w:p>
    <w:p>
      <w:pPr>
        <w:pStyle w:val="Normal"/>
        <w:tabs>
          <w:tab w:val="clear" w:pos="720"/>
          <w:tab w:val="right" w:pos="5040" w:leader="none"/>
        </w:tabs>
        <w:rPr>
          <w:rFonts w:ascii="Arial" w:hAnsi="Arial" w:cs="Arial"/>
        </w:rPr>
      </w:pPr>
      <w:r>
        <w:rPr>
          <w:rFonts w:cs="Arial" w:ascii="Arial" w:hAnsi="Arial"/>
        </w:rPr>
        <w:t>Countries in which products offered</w:t>
        <w:tab/>
        <w:t>12</w:t>
      </w:r>
    </w:p>
    <w:p>
      <w:pPr>
        <w:pStyle w:val="Normal"/>
        <w:tabs>
          <w:tab w:val="clear" w:pos="720"/>
          <w:tab w:val="right" w:pos="5040" w:leader="none"/>
        </w:tabs>
        <w:rPr>
          <w:rFonts w:ascii="Arial" w:hAnsi="Arial" w:cs="Arial"/>
        </w:rPr>
      </w:pPr>
      <w:r>
        <w:rPr>
          <w:rFonts w:cs="Arial" w:ascii="Arial" w:hAnsi="Arial"/>
        </w:rPr>
        <w:t>Commodity Groups offered</w:t>
        <w:tab/>
        <w:t>11</w:t>
      </w:r>
    </w:p>
    <w:p>
      <w:pPr>
        <w:pStyle w:val="FootnoteText"/>
        <w:tabs>
          <w:tab w:val="clear" w:pos="720"/>
          <w:tab w:val="right" w:pos="5040" w:leader="none"/>
        </w:tabs>
        <w:rPr>
          <w:rFonts w:ascii="Arial" w:hAnsi="Arial" w:cs="Arial"/>
        </w:rPr>
      </w:pPr>
      <w:r>
        <w:rPr>
          <w:rFonts w:cs="Arial" w:ascii="Arial" w:hAnsi="Arial"/>
        </w:rPr>
        <w:t>Currencies offered on EnronOnline</w:t>
        <w:tab/>
        <w:t>13</w:t>
      </w:r>
    </w:p>
    <w:p>
      <w:pPr>
        <w:pStyle w:val="Normal"/>
        <w:tabs>
          <w:tab w:val="clear" w:pos="720"/>
          <w:tab w:val="decimal" w:pos="5400" w:leader="none"/>
          <w:tab w:val="decimal" w:pos="7380" w:leader="none"/>
        </w:tabs>
        <w:rPr>
          <w:rFonts w:ascii="Arial" w:hAnsi="Arial" w:cs="Arial"/>
        </w:rPr>
      </w:pPr>
      <w:r>
        <w:rPr>
          <w:rFonts w:cs="Arial" w:ascii="Arial" w:hAnsi="Arial"/>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Website Traffic</w:t>
      </w:r>
    </w:p>
    <w:p>
      <w:pPr>
        <w:pStyle w:val="FootnoteText"/>
        <w:tabs>
          <w:tab w:val="clear" w:pos="720"/>
          <w:tab w:val="right" w:pos="5040" w:leader="none"/>
          <w:tab w:val="decimal" w:pos="9356" w:leader="none"/>
        </w:tabs>
        <w:rPr>
          <w:rFonts w:ascii="Arial" w:hAnsi="Arial" w:cs="Arial"/>
          <w:b/>
          <w:color w:val="000000"/>
          <w:sz w:val="22"/>
        </w:rPr>
      </w:pPr>
      <w:r>
        <w:rPr>
          <w:rFonts w:cs="Arial" w:ascii="Arial" w:hAnsi="Arial"/>
          <w:b/>
          <w:color w:val="000000"/>
          <w:sz w:val="22"/>
        </w:rPr>
      </w:r>
    </w:p>
    <w:p>
      <w:pPr>
        <w:pStyle w:val="FootnoteText"/>
        <w:tabs>
          <w:tab w:val="clear" w:pos="720"/>
          <w:tab w:val="right" w:pos="5040" w:leader="none"/>
          <w:tab w:val="decimal" w:pos="9356" w:leader="none"/>
        </w:tabs>
        <w:rPr>
          <w:rFonts w:ascii="Arial" w:hAnsi="Arial" w:cs="Arial"/>
        </w:rPr>
      </w:pPr>
      <w:r>
        <w:rPr>
          <w:rFonts w:cs="Arial" w:ascii="Arial" w:hAnsi="Arial"/>
        </w:rPr>
        <w:t>Number of persons logged in today</w:t>
        <w:tab/>
        <w:t>2,296</w:t>
      </w:r>
    </w:p>
    <w:p>
      <w:pPr>
        <w:pStyle w:val="FootnoteText"/>
        <w:tabs>
          <w:tab w:val="clear" w:pos="720"/>
          <w:tab w:val="right" w:pos="5040" w:leader="none"/>
          <w:tab w:val="decimal" w:pos="9356" w:leader="none"/>
        </w:tabs>
        <w:rPr>
          <w:rFonts w:ascii="Arial" w:hAnsi="Arial" w:cs="Arial"/>
        </w:rPr>
      </w:pPr>
      <w:r>
        <w:rPr>
          <w:rFonts w:cs="Arial" w:ascii="Arial" w:hAnsi="Arial"/>
        </w:rPr>
        <w:t xml:space="preserve"># of Companies logged in with Execution rights  </w:t>
        <w:tab/>
        <w:t>846</w:t>
      </w:r>
    </w:p>
    <w:p>
      <w:pPr>
        <w:pStyle w:val="Normal"/>
        <w:tabs>
          <w:tab w:val="clear" w:pos="720"/>
          <w:tab w:val="right" w:pos="5040" w:leader="none"/>
          <w:tab w:val="decimal" w:pos="9356" w:leader="none"/>
        </w:tabs>
        <w:rPr>
          <w:rFonts w:ascii="Arial" w:hAnsi="Arial" w:cs="Arial"/>
        </w:rPr>
      </w:pPr>
      <w:r>
        <w:rPr>
          <w:rFonts w:cs="Arial" w:ascii="Arial" w:hAnsi="Arial"/>
        </w:rPr>
        <w:t># of Guest Users (no Transaction rights)</w:t>
        <w:tab/>
        <w:t>48</w:t>
      </w:r>
    </w:p>
    <w:p>
      <w:pPr>
        <w:pStyle w:val="Normal"/>
        <w:rPr>
          <w:rFonts w:ascii="Arial" w:hAnsi="Arial" w:cs="Arial"/>
          <w:sz w:val="22"/>
        </w:rPr>
      </w:pPr>
      <w:r>
        <w:rPr>
          <w:rFonts w:cs="Arial" w:ascii="Arial" w:hAnsi="Arial"/>
          <w:sz w:val="22"/>
        </w:rPr>
      </w:r>
    </w:p>
    <w:p>
      <w:pPr>
        <w:pStyle w:val="Normal"/>
        <w:tabs>
          <w:tab w:val="clear" w:pos="720"/>
          <w:tab w:val="decimal" w:pos="5400" w:leader="none"/>
          <w:tab w:val="decimal" w:pos="7380" w:leader="none"/>
        </w:tabs>
        <w:spacing w:lineRule="atLeast" w:line="240"/>
        <w:rPr>
          <w:rFonts w:ascii="Arial" w:hAnsi="Arial" w:cs="Arial"/>
          <w:b/>
          <w:color w:val="000000"/>
          <w:sz w:val="22"/>
        </w:rPr>
      </w:pPr>
      <w:r>
        <w:rPr>
          <w:rFonts w:cs="Arial" w:ascii="Arial" w:hAnsi="Arial"/>
          <w:b/>
          <w:color w:val="000000"/>
          <w:sz w:val="22"/>
        </w:rPr>
        <w:t>Transactions</w:t>
      </w:r>
    </w:p>
    <w:p>
      <w:pPr>
        <w:pStyle w:val="FootnoteText"/>
        <w:tabs>
          <w:tab w:val="clear" w:pos="720"/>
          <w:tab w:val="right" w:pos="5040" w:leader="none"/>
          <w:tab w:val="decimal" w:pos="9356" w:leader="none"/>
        </w:tabs>
        <w:rPr>
          <w:rFonts w:ascii="Arial" w:hAnsi="Arial" w:cs="Arial"/>
          <w:b/>
          <w:color w:val="000000"/>
          <w:sz w:val="22"/>
        </w:rPr>
      </w:pPr>
      <w:r>
        <w:rPr>
          <w:rFonts w:cs="Arial" w:ascii="Arial" w:hAnsi="Arial"/>
          <w:b/>
          <w:color w:val="000000"/>
          <w:sz w:val="22"/>
        </w:rPr>
      </w:r>
    </w:p>
    <w:p>
      <w:pPr>
        <w:pStyle w:val="FootnoteText"/>
        <w:tabs>
          <w:tab w:val="clear" w:pos="720"/>
          <w:tab w:val="right" w:pos="5040" w:leader="none"/>
          <w:tab w:val="decimal" w:pos="9356" w:leader="none"/>
        </w:tabs>
        <w:rPr>
          <w:rFonts w:ascii="Arial" w:hAnsi="Arial" w:cs="Arial"/>
        </w:rPr>
      </w:pPr>
      <w:r>
        <w:rPr>
          <w:rFonts w:cs="Arial" w:ascii="Arial" w:hAnsi="Arial"/>
        </w:rPr>
        <w:t>Internal Transactions Today</w:t>
        <w:tab/>
        <w:t>514</w:t>
      </w:r>
    </w:p>
    <w:p>
      <w:pPr>
        <w:pStyle w:val="FootnoteText"/>
        <w:tabs>
          <w:tab w:val="clear" w:pos="720"/>
          <w:tab w:val="right" w:pos="5040" w:leader="none"/>
          <w:tab w:val="decimal" w:pos="9356" w:leader="none"/>
        </w:tabs>
        <w:rPr>
          <w:rFonts w:ascii="Arial" w:hAnsi="Arial" w:cs="Arial"/>
        </w:rPr>
      </w:pPr>
      <w:r>
        <w:rPr>
          <w:rFonts w:cs="Arial" w:ascii="Arial" w:hAnsi="Arial"/>
        </w:rPr>
        <w:t>External Transactions Today</w:t>
        <w:tab/>
        <w:t>2,385</w:t>
      </w:r>
    </w:p>
    <w:p>
      <w:pPr>
        <w:pStyle w:val="Normal"/>
        <w:rPr>
          <w:rFonts w:ascii="Arial" w:hAnsi="Arial" w:cs="Arial"/>
          <w:sz w:val="22"/>
        </w:rPr>
      </w:pPr>
      <w:r>
        <w:rPr>
          <w:rFonts w:cs="Arial" w:ascii="Arial" w:hAnsi="Arial"/>
          <w:sz w:val="22"/>
        </w:rPr>
      </w:r>
      <w:r>
        <w:br w:type="page"/>
      </w:r>
    </w:p>
    <w:p>
      <w:pPr>
        <w:pStyle w:val="Heading1"/>
        <w:ind w:hanging="0" w:start="0"/>
        <w:rPr/>
      </w:pPr>
      <w:bookmarkStart w:id="1" w:name="__RefHeading___Toc480781115"/>
      <w:bookmarkEnd w:id="1"/>
      <w:r>
        <w:rPr/>
        <w:t>Performance Indicators</w:t>
      </w:r>
    </w:p>
    <w:p>
      <w:pPr>
        <w:pStyle w:val="Heading2"/>
        <w:ind w:hanging="0" w:start="0"/>
        <w:rPr/>
      </w:pPr>
      <w:r>
        <w:rPr/>
      </w:r>
    </w:p>
    <w:p>
      <w:pPr>
        <w:pStyle w:val="Heading2"/>
        <w:ind w:hanging="0" w:start="0"/>
        <w:rPr/>
      </w:pPr>
      <w:bookmarkStart w:id="2" w:name="__RefHeading___Toc480781116"/>
      <w:bookmarkEnd w:id="2"/>
      <w:r>
        <w:rPr/>
        <w:t>A</w:t>
        <w:tab/>
        <w:t>Transaction Summary</w:t>
      </w:r>
    </w:p>
    <w:p>
      <w:pPr>
        <w:pStyle w:val="Normal"/>
        <w:rPr/>
      </w:pPr>
      <w:r>
        <w:rPr/>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797550" cy="672592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4" t="-3" r="-4" b="-3"/>
                    <a:stretch>
                      <a:fillRect/>
                    </a:stretch>
                  </pic:blipFill>
                  <pic:spPr bwMode="auto">
                    <a:xfrm>
                      <a:off x="0" y="0"/>
                      <a:ext cx="5797550" cy="6725920"/>
                    </a:xfrm>
                    <a:prstGeom prst="rect">
                      <a:avLst/>
                    </a:prstGeom>
                    <a:noFill/>
                  </pic:spPr>
                </pic:pic>
              </a:graphicData>
            </a:graphic>
          </wp:anchor>
        </w:drawing>
      </w:r>
    </w:p>
    <w:p>
      <w:pPr>
        <w:pStyle w:val="Normal"/>
        <w:rPr/>
      </w:pPr>
      <w:r>
        <w:rPr/>
        <w:t>*The above trading summary does not include deal count, volume or value for UK Power due to severe system issues which prevented the risk group from sending the trading information for the day.</w:t>
      </w:r>
    </w:p>
    <w:p>
      <w:pPr>
        <w:pStyle w:val="Normal"/>
        <w:tabs>
          <w:tab w:val="clear" w:pos="720"/>
          <w:tab w:val="decimal" w:pos="5400" w:leader="none"/>
          <w:tab w:val="decimal" w:pos="7380" w:leader="none"/>
        </w:tabs>
        <w:ind w:end="-1440"/>
        <w:rPr>
          <w:rFonts w:ascii="Arial" w:hAnsi="Arial" w:cs="Arial"/>
          <w:b/>
          <w:sz w:val="18"/>
        </w:rPr>
      </w:pPr>
      <w:r>
        <w:rPr>
          <w:rFonts w:cs="Arial" w:ascii="Arial" w:hAnsi="Arial"/>
          <w:b/>
          <w:sz w:val="18"/>
        </w:rPr>
      </w:r>
    </w:p>
    <w:p>
      <w:pPr>
        <w:pStyle w:val="Normal"/>
        <w:rPr>
          <w:rFonts w:ascii="Arial" w:hAnsi="Arial" w:cs="Arial"/>
          <w:b/>
          <w:sz w:val="16"/>
        </w:rPr>
      </w:pPr>
      <w:r>
        <w:rPr>
          <w:rFonts w:cs="Arial" w:ascii="Arial" w:hAnsi="Arial"/>
          <w:b/>
          <w:sz w:val="16"/>
        </w:rPr>
      </w:r>
      <w:bookmarkStart w:id="3" w:name="__RefHeading___Toc480781117"/>
      <w:bookmarkStart w:id="4" w:name="__RefHeading___Toc480781117"/>
      <w:r>
        <w:br w:type="page"/>
      </w:r>
    </w:p>
    <w:p>
      <w:pPr>
        <w:pStyle w:val="FootnoteText"/>
        <w:rPr>
          <w:rFonts w:ascii="Arial" w:hAnsi="Arial" w:cs="Arial"/>
          <w:sz w:val="16"/>
        </w:rPr>
      </w:pPr>
      <w:r>
        <w:rPr>
          <w:rFonts w:cs="Arial" w:ascii="Arial" w:hAnsi="Arial"/>
          <w:sz w:val="16"/>
        </w:rPr>
      </w:r>
    </w:p>
    <w:p>
      <w:pPr>
        <w:pStyle w:val="Heading1"/>
        <w:ind w:hanging="0" w:start="0"/>
        <w:rPr/>
      </w:pPr>
      <w:bookmarkStart w:id="5" w:name="__RefHeading___Toc480781117"/>
      <w:r>
        <w:rPr/>
        <w:t>B</w:t>
        <w:tab/>
        <w:t>Competitor Information</w:t>
      </w:r>
      <w:bookmarkEnd w:id="5"/>
    </w:p>
    <w:p>
      <w:pPr>
        <w:pStyle w:val="Normal"/>
        <w:rPr/>
      </w:pPr>
      <w:r>
        <w:rPr/>
      </w:r>
    </w:p>
    <w:p>
      <w:pPr>
        <w:pStyle w:val="Heading2"/>
        <w:ind w:hanging="0" w:start="0" w:end="-1051"/>
        <w:rPr/>
      </w:pPr>
      <w:r>
        <w:rPr/>
      </w:r>
    </w:p>
    <w:tbl>
      <w:tblPr>
        <w:tblW w:w="8876" w:type="dxa"/>
        <w:jc w:val="start"/>
        <w:tblInd w:w="0" w:type="dxa"/>
        <w:tblLayout w:type="fixed"/>
        <w:tblCellMar>
          <w:top w:w="0" w:type="dxa"/>
          <w:start w:w="30" w:type="dxa"/>
          <w:bottom w:w="0" w:type="dxa"/>
          <w:end w:w="30" w:type="dxa"/>
        </w:tblCellMar>
      </w:tblPr>
      <w:tblGrid>
        <w:gridCol w:w="1798"/>
        <w:gridCol w:w="1652"/>
        <w:gridCol w:w="1068"/>
        <w:gridCol w:w="1250"/>
        <w:gridCol w:w="766"/>
        <w:gridCol w:w="1176"/>
        <w:gridCol w:w="1166"/>
      </w:tblGrid>
      <w:tr>
        <w:trPr>
          <w:trHeight w:val="238" w:hRule="atLeast"/>
        </w:trPr>
        <w:tc>
          <w:tcPr>
            <w:tcW w:w="1798" w:type="dxa"/>
            <w:tcBorders>
              <w:top w:val="single" w:sz="6" w:space="0" w:color="000000"/>
              <w:start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Market/</w:t>
            </w:r>
          </w:p>
        </w:tc>
        <w:tc>
          <w:tcPr>
            <w:tcW w:w="1652" w:type="dxa"/>
            <w:tcBorders>
              <w:top w:val="single" w:sz="6" w:space="0" w:color="000000"/>
              <w:start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 xml:space="preserve">Competitor </w:t>
            </w:r>
          </w:p>
        </w:tc>
        <w:tc>
          <w:tcPr>
            <w:tcW w:w="1068" w:type="dxa"/>
            <w:tcBorders>
              <w:top w:val="single" w:sz="6" w:space="0" w:color="000000"/>
              <w:start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Number of</w:t>
            </w:r>
          </w:p>
        </w:tc>
        <w:tc>
          <w:tcPr>
            <w:tcW w:w="1250" w:type="dxa"/>
            <w:tcBorders>
              <w:top w:val="single" w:sz="6" w:space="0" w:color="000000"/>
              <w:end w:val="single" w:sz="6" w:space="0" w:color="000000"/>
            </w:tcBorders>
            <w:shd w:fill="FFFFFF" w:val="clear"/>
          </w:tcPr>
          <w:p>
            <w:pPr>
              <w:pStyle w:val="Normal"/>
              <w:rPr>
                <w:rFonts w:ascii="Arial" w:hAnsi="Arial" w:cs="Arial"/>
                <w:b/>
                <w:color w:val="000000"/>
                <w:sz w:val="16"/>
                <w:lang w:eastAsia="en-US"/>
              </w:rPr>
            </w:pPr>
            <w:r>
              <w:rPr>
                <w:rFonts w:cs="Arial" w:ascii="Arial" w:hAnsi="Arial"/>
                <w:b/>
                <w:color w:val="000000"/>
                <w:sz w:val="16"/>
                <w:lang w:eastAsia="en-US"/>
              </w:rPr>
              <w:t>Transactions</w:t>
            </w:r>
          </w:p>
        </w:tc>
        <w:tc>
          <w:tcPr>
            <w:tcW w:w="766" w:type="dxa"/>
            <w:tcBorders>
              <w:top w:val="single" w:sz="6" w:space="0" w:color="000000"/>
              <w:start w:val="single" w:sz="6" w:space="0" w:color="000000"/>
            </w:tcBorders>
            <w:shd w:fill="C0C0C0"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176" w:type="dxa"/>
            <w:tcBorders>
              <w:top w:val="single" w:sz="6"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Volume</w:t>
            </w:r>
          </w:p>
        </w:tc>
        <w:tc>
          <w:tcPr>
            <w:tcW w:w="1166" w:type="dxa"/>
            <w:tcBorders>
              <w:top w:val="single" w:sz="6" w:space="0" w:color="000000"/>
              <w:end w:val="single" w:sz="6"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r>
      <w:tr>
        <w:trPr>
          <w:trHeight w:val="238" w:hRule="atLeast"/>
        </w:trPr>
        <w:tc>
          <w:tcPr>
            <w:tcW w:w="1798" w:type="dxa"/>
            <w:tcBorders>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Commodities</w:t>
            </w:r>
          </w:p>
        </w:tc>
        <w:tc>
          <w:tcPr>
            <w:tcW w:w="1652" w:type="dxa"/>
            <w:tcBorders>
              <w:start w:val="single" w:sz="6" w:space="0" w:color="000000"/>
              <w:bottom w:val="single" w:sz="6" w:space="0" w:color="000000"/>
              <w:end w:val="single" w:sz="6" w:space="0" w:color="000000"/>
            </w:tcBorders>
            <w:shd w:fill="C0C0C0" w:val="clear"/>
          </w:tcPr>
          <w:p>
            <w:pPr>
              <w:pStyle w:val="Normal"/>
              <w:rPr>
                <w:rFonts w:ascii="Arial" w:hAnsi="Arial" w:cs="Arial"/>
                <w:b/>
                <w:color w:val="000000"/>
                <w:sz w:val="16"/>
                <w:lang w:eastAsia="en-US"/>
              </w:rPr>
            </w:pPr>
            <w:r>
              <w:rPr>
                <w:rFonts w:cs="Arial" w:ascii="Arial" w:hAnsi="Arial"/>
                <w:b/>
                <w:color w:val="000000"/>
                <w:sz w:val="16"/>
                <w:lang w:eastAsia="en-US"/>
              </w:rPr>
              <w:t>Name</w:t>
            </w:r>
          </w:p>
        </w:tc>
        <w:tc>
          <w:tcPr>
            <w:tcW w:w="1068" w:type="dxa"/>
            <w:tcBorders>
              <w:start w:val="single" w:sz="6" w:space="0" w:color="000000"/>
              <w:bottom w:val="single" w:sz="6" w:space="0" w:color="000000"/>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Competitor</w:t>
            </w:r>
          </w:p>
        </w:tc>
        <w:tc>
          <w:tcPr>
            <w:tcW w:w="1250" w:type="dxa"/>
            <w:tcBorders>
              <w:bottom w:val="single" w:sz="6" w:space="0" w:color="000000"/>
              <w:end w:val="single" w:sz="6" w:space="0" w:color="000000"/>
            </w:tcBorders>
            <w:shd w:fill="FFFFFF" w:val="clear"/>
          </w:tcPr>
          <w:p>
            <w:pPr>
              <w:pStyle w:val="Normal"/>
              <w:jc w:val="center"/>
              <w:rPr>
                <w:rFonts w:ascii="Arial" w:hAnsi="Arial" w:cs="Arial"/>
                <w:color w:val="000000"/>
                <w:sz w:val="16"/>
                <w:lang w:eastAsia="en-US"/>
              </w:rPr>
            </w:pPr>
            <w:r>
              <w:rPr>
                <w:rFonts w:cs="Arial" w:ascii="Arial" w:hAnsi="Arial"/>
                <w:color w:val="000000"/>
                <w:sz w:val="16"/>
                <w:lang w:eastAsia="en-US"/>
              </w:rPr>
              <w:t>EnronOnline</w:t>
            </w:r>
          </w:p>
        </w:tc>
        <w:tc>
          <w:tcPr>
            <w:tcW w:w="766" w:type="dxa"/>
            <w:tcBorders>
              <w:start w:val="single" w:sz="6" w:space="0" w:color="000000"/>
              <w:bottom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Units</w:t>
            </w:r>
          </w:p>
        </w:tc>
        <w:tc>
          <w:tcPr>
            <w:tcW w:w="1176" w:type="dxa"/>
            <w:tcBorders>
              <w:bottom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Competitor</w:t>
            </w:r>
          </w:p>
        </w:tc>
        <w:tc>
          <w:tcPr>
            <w:tcW w:w="1166" w:type="dxa"/>
            <w:tcBorders>
              <w:bottom w:val="single" w:sz="6" w:space="0" w:color="000000"/>
              <w:end w:val="single" w:sz="6" w:space="0" w:color="000000"/>
            </w:tcBorders>
            <w:shd w:fill="C0C0C0" w:val="clear"/>
          </w:tcPr>
          <w:p>
            <w:pPr>
              <w:pStyle w:val="Normal"/>
              <w:jc w:val="center"/>
              <w:rPr>
                <w:rFonts w:ascii="Arial" w:hAnsi="Arial" w:cs="Arial"/>
                <w:color w:val="000000"/>
                <w:sz w:val="16"/>
                <w:lang w:eastAsia="en-US"/>
              </w:rPr>
            </w:pPr>
            <w:r>
              <w:rPr>
                <w:rFonts w:cs="Arial" w:ascii="Arial" w:hAnsi="Arial"/>
                <w:color w:val="000000"/>
                <w:sz w:val="16"/>
                <w:lang w:eastAsia="en-US"/>
              </w:rPr>
              <w:t>EnronOnline</w:t>
            </w:r>
          </w:p>
        </w:tc>
      </w:tr>
      <w:tr>
        <w:trPr>
          <w:trHeight w:val="202" w:hRule="atLeast"/>
        </w:trPr>
        <w:tc>
          <w:tcPr>
            <w:tcW w:w="1798"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652"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68"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50"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6"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76"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166" w:type="dxa"/>
            <w:tcBorders/>
            <w:shd w:fill="FFFFFF" w:val="clear"/>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Natural Gas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 xml:space="preserve">Altrade </w:t>
            </w:r>
            <w:r>
              <w:rPr>
                <w:rStyle w:val="FootnoteCharacters"/>
                <w:rStyle w:val="FootnoteReference"/>
                <w:rFonts w:cs="Arial" w:ascii="Arial" w:hAnsi="Arial"/>
                <w:color w:val="000000"/>
                <w:sz w:val="16"/>
                <w:lang w:eastAsia="en-US"/>
              </w:rPr>
              <w:footnoteReference w:id="2"/>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394 </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1,797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12,817,747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318,057,629 </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Canadian Natural Gas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NGX</w:t>
            </w:r>
            <w:r>
              <w:rPr>
                <w:rStyle w:val="FootnoteCharacters"/>
                <w:rStyle w:val="FootnoteReference"/>
                <w:rFonts w:cs="Arial" w:ascii="Arial" w:hAnsi="Arial"/>
                <w:color w:val="000000"/>
                <w:sz w:val="16"/>
                <w:lang w:eastAsia="en-US"/>
              </w:rPr>
              <w:footnoteReference w:id="3"/>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264 </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263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3,943,900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17,347,741 </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Power</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Altrade</w:t>
            </w:r>
            <w:r>
              <w:rPr>
                <w:rStyle w:val="FootnoteCharacters"/>
                <w:rStyle w:val="FootnoteReference"/>
                <w:rFonts w:cs="Arial" w:ascii="Arial" w:hAnsi="Arial"/>
                <w:color w:val="000000"/>
                <w:sz w:val="16"/>
                <w:lang w:eastAsia="en-US"/>
              </w:rPr>
              <w:footnoteReference w:id="4"/>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115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MWh</w:t>
            </w:r>
          </w:p>
        </w:tc>
        <w:tc>
          <w:tcPr>
            <w:tcW w:w="1176" w:type="dxa"/>
            <w:tcBorders/>
            <w:shd w:fill="FFFFFF" w:val="clear"/>
          </w:tcPr>
          <w:p>
            <w:pPr>
              <w:pStyle w:val="Normal"/>
              <w:jc w:val="center"/>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320,000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629,800 </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UK Gas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IPE</w:t>
            </w:r>
            <w:r>
              <w:rPr>
                <w:rStyle w:val="FootnoteCharacters"/>
                <w:rStyle w:val="FootnoteReference"/>
                <w:rFonts w:cs="Arial" w:ascii="Arial" w:hAnsi="Arial"/>
                <w:color w:val="000000"/>
                <w:sz w:val="16"/>
                <w:lang w:eastAsia="en-US"/>
              </w:rPr>
              <w:footnoteReference w:id="5"/>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50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MMBtu</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399,500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6,932,500 </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WEATHER</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Tradeweather.com</w:t>
            </w:r>
            <w:r>
              <w:rPr>
                <w:rStyle w:val="FootnoteCharacters"/>
                <w:rStyle w:val="FootnoteReference"/>
                <w:rFonts w:cs="Arial" w:ascii="Arial" w:hAnsi="Arial"/>
                <w:color w:val="000000"/>
                <w:sz w:val="16"/>
                <w:lang w:eastAsia="en-US"/>
              </w:rPr>
              <w:footnoteReference w:id="6"/>
            </w:r>
          </w:p>
        </w:tc>
        <w:tc>
          <w:tcPr>
            <w:tcW w:w="1068"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16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Contracts</w:t>
            </w:r>
          </w:p>
        </w:tc>
        <w:tc>
          <w:tcPr>
            <w:tcW w:w="117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11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16</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Petrochemicals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Chemmatch</w:t>
            </w:r>
            <w:r>
              <w:rPr>
                <w:rStyle w:val="FootnoteCharacters"/>
                <w:rStyle w:val="FootnoteReference"/>
                <w:rFonts w:cs="Arial" w:ascii="Arial" w:hAnsi="Arial"/>
                <w:color w:val="000000"/>
                <w:sz w:val="16"/>
                <w:lang w:eastAsia="en-US"/>
              </w:rPr>
              <w:footnoteReference w:id="7"/>
            </w:r>
          </w:p>
        </w:tc>
        <w:tc>
          <w:tcPr>
            <w:tcW w:w="1068"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w:t>
            </w:r>
          </w:p>
        </w:tc>
        <w:tc>
          <w:tcPr>
            <w:tcW w:w="1250"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1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0</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UK Crude and Liquides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IPE</w:t>
            </w:r>
            <w:r>
              <w:rPr>
                <w:rStyle w:val="FootnoteCharacters"/>
                <w:rStyle w:val="FootnoteReference"/>
                <w:rFonts w:cs="Arial" w:ascii="Arial" w:hAnsi="Arial"/>
                <w:color w:val="000000"/>
                <w:sz w:val="16"/>
                <w:lang w:eastAsia="en-US"/>
              </w:rPr>
              <w:footnoteReference w:customMarkFollows="1" w:id="8"/>
              <w:t>4</w:t>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w:t>
            </w:r>
          </w:p>
        </w:tc>
        <w:tc>
          <w:tcPr>
            <w:tcW w:w="1250"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25</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260,415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595,089 </w:t>
            </w:r>
          </w:p>
        </w:tc>
      </w:tr>
      <w:tr>
        <w:trPr>
          <w:trHeight w:val="202" w:hRule="atLeast"/>
        </w:trPr>
        <w:tc>
          <w:tcPr>
            <w:tcW w:w="1798"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US Crude and Liquides</w:t>
            </w:r>
          </w:p>
        </w:tc>
        <w:tc>
          <w:tcPr>
            <w:tcW w:w="1652" w:type="dxa"/>
            <w:tcBorders/>
            <w:shd w:fill="FFFFFF" w:val="clear"/>
          </w:tcPr>
          <w:p>
            <w:pPr>
              <w:pStyle w:val="Normal"/>
              <w:rPr>
                <w:rFonts w:ascii="Arial" w:hAnsi="Arial" w:cs="Arial"/>
                <w:color w:val="000000"/>
                <w:sz w:val="16"/>
                <w:lang w:eastAsia="en-US"/>
              </w:rPr>
            </w:pPr>
            <w:r>
              <w:rPr>
                <w:rFonts w:cs="Arial" w:ascii="Arial" w:hAnsi="Arial"/>
                <w:color w:val="000000"/>
                <w:sz w:val="16"/>
                <w:lang w:eastAsia="en-US"/>
              </w:rPr>
              <w:t>Altrade (Chalkboard)</w:t>
            </w:r>
            <w:r>
              <w:rPr>
                <w:rStyle w:val="FootnoteCharacters"/>
                <w:rStyle w:val="FootnoteReference"/>
                <w:rFonts w:cs="Arial" w:ascii="Arial" w:hAnsi="Arial"/>
                <w:color w:val="000000"/>
                <w:sz w:val="16"/>
                <w:lang w:eastAsia="en-US"/>
              </w:rPr>
              <w:footnoteReference w:id="9"/>
            </w:r>
          </w:p>
        </w:tc>
        <w:tc>
          <w:tcPr>
            <w:tcW w:w="1068"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37 </w:t>
            </w:r>
          </w:p>
        </w:tc>
        <w:tc>
          <w:tcPr>
            <w:tcW w:w="1250"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30 </w:t>
            </w:r>
          </w:p>
        </w:tc>
        <w:tc>
          <w:tcPr>
            <w:tcW w:w="766" w:type="dxa"/>
            <w:tcBorders/>
            <w:shd w:fill="FFFFFF" w:val="clear"/>
          </w:tcPr>
          <w:p>
            <w:pPr>
              <w:pStyle w:val="Normal"/>
              <w:jc w:val="end"/>
              <w:rPr>
                <w:rFonts w:ascii="Arial" w:hAnsi="Arial" w:cs="Arial"/>
                <w:color w:val="000000"/>
                <w:sz w:val="16"/>
                <w:lang w:eastAsia="en-US"/>
              </w:rPr>
            </w:pPr>
            <w:r>
              <w:rPr>
                <w:rFonts w:cs="Arial" w:ascii="Arial" w:hAnsi="Arial"/>
                <w:color w:val="000000"/>
                <w:sz w:val="16"/>
                <w:lang w:eastAsia="en-US"/>
              </w:rPr>
              <w:t>BBL</w:t>
            </w:r>
          </w:p>
        </w:tc>
        <w:tc>
          <w:tcPr>
            <w:tcW w:w="117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716,000 </w:t>
            </w:r>
          </w:p>
        </w:tc>
        <w:tc>
          <w:tcPr>
            <w:tcW w:w="1166" w:type="dxa"/>
            <w:tcBorders/>
            <w:shd w:fill="FFFFFF" w:val="clear"/>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737,911 </w:t>
            </w:r>
          </w:p>
        </w:tc>
      </w:tr>
    </w:tbl>
    <w:p>
      <w:pPr>
        <w:pStyle w:val="Heading2"/>
        <w:ind w:hanging="0" w:start="0"/>
        <w:rPr/>
      </w:pPr>
      <w:r>
        <w:br w:type="page"/>
      </w:r>
      <w:bookmarkStart w:id="6" w:name="__RefHeading___Toc480781118"/>
      <w:bookmarkEnd w:id="6"/>
      <w:r>
        <w:rPr/>
        <w:t>C  Failed Transactions</w:t>
      </w:r>
    </w:p>
    <w:p>
      <w:pPr>
        <w:pStyle w:val="Heading2"/>
        <w:ind w:hanging="0" w:start="0"/>
        <w:rPr/>
      </w:pPr>
      <w:r>
        <w:rPr/>
      </w:r>
    </w:p>
    <w:p>
      <w:pPr>
        <w:pStyle w:val="BodyText2"/>
        <w:rPr>
          <w:i/>
          <w:i/>
        </w:rPr>
      </w:pPr>
      <w:r>
        <w:rPr/>
        <w:t xml:space="preserve">There were 638 transaction attempts that did not succeed which represents 21% of all transaction attempts.  Of these, 615 were due to customers attempting to purchase a product that had altered in price or volume.  </w:t>
      </w:r>
    </w:p>
    <w:p>
      <w:pPr>
        <w:pStyle w:val="BodyText2"/>
        <w:rPr>
          <w:i/>
          <w:i/>
        </w:rPr>
      </w:pPr>
      <w:r>
        <w:rPr>
          <w:i/>
        </w:rPr>
      </w:r>
    </w:p>
    <w:p>
      <w:pPr>
        <w:pStyle w:val="BodyText2"/>
        <w:rPr>
          <w:b/>
        </w:rPr>
      </w:pPr>
      <w:r>
        <w:rPr>
          <w:b/>
        </w:rPr>
        <w:t>Reason</w:t>
      </w:r>
    </w:p>
    <w:p>
      <w:pPr>
        <w:pStyle w:val="BodyText2"/>
        <w:tabs>
          <w:tab w:val="clear" w:pos="720"/>
          <w:tab w:val="right" w:pos="6210" w:leader="none"/>
        </w:tabs>
        <w:rPr/>
      </w:pPr>
      <w:r>
        <w:rPr/>
        <w:t>Price and volume altered</w:t>
        <w:tab/>
        <w:t>615</w:t>
      </w:r>
    </w:p>
    <w:p>
      <w:pPr>
        <w:pStyle w:val="BodyText2"/>
        <w:tabs>
          <w:tab w:val="clear" w:pos="720"/>
          <w:tab w:val="right" w:pos="6210" w:leader="none"/>
        </w:tabs>
        <w:rPr/>
      </w:pPr>
      <w:r>
        <w:rPr/>
        <w:t>Product is not active</w:t>
        <w:tab/>
        <w:t>8</w:t>
      </w:r>
    </w:p>
    <w:p>
      <w:pPr>
        <w:pStyle w:val="BodyText2"/>
        <w:tabs>
          <w:tab w:val="clear" w:pos="720"/>
          <w:tab w:val="right" w:pos="6210" w:leader="none"/>
        </w:tabs>
        <w:rPr/>
      </w:pPr>
      <w:r>
        <w:rPr/>
        <w:t>Credit Limit Exceeded</w:t>
        <w:tab/>
        <w:t>15</w:t>
      </w:r>
    </w:p>
    <w:p>
      <w:pPr>
        <w:pStyle w:val="Heading2"/>
        <w:ind w:hanging="0" w:start="0"/>
        <w:rPr/>
      </w:pPr>
      <w:r>
        <w:rPr/>
      </w:r>
    </w:p>
    <w:p>
      <w:pPr>
        <w:pStyle w:val="Normal"/>
        <w:rPr/>
      </w:pPr>
      <w:r>
        <w:rPr/>
      </w:r>
    </w:p>
    <w:p>
      <w:pPr>
        <w:pStyle w:val="Normal"/>
        <w:rPr/>
      </w:pPr>
      <w:r>
        <w:rPr/>
      </w:r>
    </w:p>
    <w:p>
      <w:pPr>
        <w:pStyle w:val="Normal"/>
        <w:rPr/>
      </w:pPr>
      <w:r>
        <w:rPr/>
      </w:r>
    </w:p>
    <w:p>
      <w:pPr>
        <w:pStyle w:val="Heading2"/>
        <w:tabs>
          <w:tab w:val="clear" w:pos="720"/>
          <w:tab w:val="right" w:pos="6210" w:leader="none"/>
        </w:tabs>
        <w:ind w:hanging="0" w:start="0"/>
        <w:rPr/>
      </w:pPr>
      <w:bookmarkStart w:id="7" w:name="__RefHeading___Toc480781119"/>
      <w:bookmarkEnd w:id="7"/>
      <w:r>
        <w:rPr/>
        <w:t xml:space="preserve">D  Number of Counterparties </w:t>
        <w:tab/>
        <w:t xml:space="preserve">      </w:t>
      </w:r>
      <w:r>
        <w:rPr>
          <w:rFonts w:cs="Times New Roman" w:ascii="Times New Roman" w:hAnsi="Times New Roman"/>
          <w:b w:val="false"/>
          <w:sz w:val="20"/>
        </w:rPr>
        <w:t>(to date)</w:t>
      </w:r>
    </w:p>
    <w:p>
      <w:pPr>
        <w:pStyle w:val="Normal"/>
        <w:tabs>
          <w:tab w:val="clear" w:pos="720"/>
          <w:tab w:val="right" w:pos="6210" w:leader="none"/>
        </w:tabs>
        <w:rPr>
          <w:rFonts w:ascii="Arial" w:hAnsi="Arial" w:cs="Arial"/>
          <w:b/>
          <w:sz w:val="20"/>
        </w:rPr>
      </w:pPr>
      <w:r>
        <w:rPr>
          <w:rFonts w:cs="Arial" w:ascii="Arial" w:hAnsi="Arial"/>
          <w:b/>
          <w:sz w:val="20"/>
        </w:rPr>
      </w:r>
    </w:p>
    <w:p>
      <w:pPr>
        <w:pStyle w:val="Heading7"/>
        <w:tabs>
          <w:tab w:val="clear" w:pos="720"/>
          <w:tab w:val="right" w:pos="6210" w:leader="none"/>
        </w:tabs>
        <w:ind w:hanging="0" w:end="0"/>
        <w:rPr/>
      </w:pPr>
      <w:r>
        <w:rPr/>
        <w:t>Passwords Issued</w:t>
      </w:r>
    </w:p>
    <w:p>
      <w:pPr>
        <w:pStyle w:val="BodyTextIndent2"/>
        <w:tabs>
          <w:tab w:val="clear" w:pos="720"/>
          <w:tab w:val="right" w:pos="6210" w:leader="none"/>
        </w:tabs>
        <w:ind w:start="0" w:end="0"/>
        <w:rPr>
          <w:sz w:val="20"/>
        </w:rPr>
      </w:pPr>
      <w:r>
        <w:rPr>
          <w:sz w:val="20"/>
        </w:rPr>
        <w:t xml:space="preserve">Number of Companies </w:t>
        <w:tab/>
        <w:t>940</w:t>
      </w:r>
    </w:p>
    <w:p>
      <w:pPr>
        <w:pStyle w:val="BodyTextIndent2"/>
        <w:tabs>
          <w:tab w:val="clear" w:pos="720"/>
          <w:tab w:val="right" w:pos="6210" w:leader="none"/>
        </w:tabs>
        <w:ind w:start="0" w:end="0"/>
        <w:rPr>
          <w:sz w:val="20"/>
        </w:rPr>
      </w:pPr>
      <w:r>
        <w:rPr>
          <w:sz w:val="20"/>
        </w:rPr>
        <w:t>Number of Master Users</w:t>
        <w:tab/>
        <w:t>1,099</w:t>
      </w:r>
    </w:p>
    <w:p>
      <w:pPr>
        <w:pStyle w:val="Normal"/>
        <w:tabs>
          <w:tab w:val="clear" w:pos="720"/>
          <w:tab w:val="right" w:pos="6210" w:leader="none"/>
        </w:tabs>
        <w:rPr>
          <w:rFonts w:ascii="Arial" w:hAnsi="Arial" w:cs="Arial"/>
        </w:rPr>
      </w:pPr>
      <w:r>
        <w:rPr>
          <w:rFonts w:cs="Arial" w:ascii="Arial" w:hAnsi="Arial"/>
        </w:rPr>
        <w:t>Number of Users</w:t>
        <w:tab/>
        <w:t>4,631</w:t>
      </w:r>
    </w:p>
    <w:p>
      <w:pPr>
        <w:pStyle w:val="Heading7"/>
        <w:tabs>
          <w:tab w:val="clear" w:pos="720"/>
          <w:tab w:val="right" w:pos="6210" w:leader="none"/>
        </w:tabs>
        <w:ind w:hanging="0" w:end="0"/>
        <w:rPr/>
      </w:pPr>
      <w:r>
        <w:rPr/>
        <w:t>Application Rejections</w:t>
      </w:r>
    </w:p>
    <w:p>
      <w:pPr>
        <w:pStyle w:val="BodyTextIndent2"/>
        <w:tabs>
          <w:tab w:val="clear" w:pos="720"/>
          <w:tab w:val="right" w:pos="6210" w:leader="none"/>
        </w:tabs>
        <w:ind w:start="0" w:end="0"/>
        <w:rPr>
          <w:sz w:val="20"/>
        </w:rPr>
      </w:pPr>
      <w:r>
        <w:rPr>
          <w:sz w:val="20"/>
        </w:rPr>
        <w:t xml:space="preserve">Credit </w:t>
        <w:tab/>
        <w:t>64</w:t>
      </w:r>
    </w:p>
    <w:p>
      <w:pPr>
        <w:pStyle w:val="BodyTextIndent2"/>
        <w:tabs>
          <w:tab w:val="clear" w:pos="720"/>
          <w:tab w:val="right" w:pos="6210" w:leader="none"/>
        </w:tabs>
        <w:ind w:start="0" w:end="0"/>
        <w:rPr>
          <w:sz w:val="20"/>
        </w:rPr>
      </w:pPr>
      <w:r>
        <w:rPr>
          <w:sz w:val="20"/>
        </w:rPr>
        <w:t>Non-Customer (e.g. Broker)</w:t>
        <w:tab/>
        <w:t>43</w:t>
      </w:r>
    </w:p>
    <w:p>
      <w:pPr>
        <w:pStyle w:val="BodyTextIndent2"/>
        <w:tabs>
          <w:tab w:val="clear" w:pos="720"/>
          <w:tab w:val="right" w:pos="6210" w:leader="none"/>
        </w:tabs>
        <w:ind w:start="0" w:end="0"/>
        <w:rPr>
          <w:sz w:val="20"/>
        </w:rPr>
      </w:pPr>
      <w:r>
        <w:rPr>
          <w:sz w:val="20"/>
        </w:rPr>
        <w:t>Applications Closed (e.g. Sub-User Access,</w:t>
        <w:tab/>
        <w:t>222</w:t>
      </w:r>
    </w:p>
    <w:p>
      <w:pPr>
        <w:pStyle w:val="BodyTextIndent2"/>
        <w:tabs>
          <w:tab w:val="clear" w:pos="720"/>
          <w:tab w:val="right" w:pos="6210" w:leader="none"/>
        </w:tabs>
        <w:ind w:start="0" w:end="0"/>
        <w:rPr>
          <w:sz w:val="20"/>
        </w:rPr>
      </w:pPr>
      <w:r>
        <w:rPr>
          <w:sz w:val="20"/>
        </w:rPr>
        <w:t xml:space="preserve">No Response,etc)  </w:t>
      </w:r>
    </w:p>
    <w:p>
      <w:pPr>
        <w:pStyle w:val="BodyTextIndent2"/>
        <w:tabs>
          <w:tab w:val="clear" w:pos="720"/>
          <w:tab w:val="right" w:pos="6210" w:leader="none"/>
        </w:tabs>
        <w:ind w:start="0" w:end="0"/>
        <w:rPr>
          <w:sz w:val="20"/>
        </w:rPr>
      </w:pPr>
      <w:r>
        <w:rPr>
          <w:sz w:val="20"/>
        </w:rPr>
      </w:r>
    </w:p>
    <w:p>
      <w:pPr>
        <w:pStyle w:val="Heading7"/>
        <w:tabs>
          <w:tab w:val="clear" w:pos="720"/>
          <w:tab w:val="right" w:pos="7200" w:leader="none"/>
          <w:tab w:val="right" w:pos="8280" w:leader="none"/>
        </w:tabs>
        <w:ind w:hanging="0" w:end="0"/>
        <w:rPr/>
      </w:pPr>
      <w:r>
        <w:rPr/>
        <w:t>Number of Applications in Process</w:t>
        <w:tab/>
        <w:t>UK</w:t>
        <w:tab/>
        <w:t>US</w:t>
      </w:r>
    </w:p>
    <w:p>
      <w:pPr>
        <w:pStyle w:val="BodyTextIndent2"/>
        <w:tabs>
          <w:tab w:val="clear" w:pos="720"/>
          <w:tab w:val="right" w:pos="6120" w:leader="none"/>
          <w:tab w:val="right" w:pos="7200" w:leader="none"/>
          <w:tab w:val="right" w:pos="8280" w:leader="none"/>
        </w:tabs>
        <w:ind w:start="0" w:end="0"/>
        <w:rPr>
          <w:sz w:val="20"/>
        </w:rPr>
      </w:pPr>
      <w:r>
        <w:rPr>
          <w:sz w:val="20"/>
        </w:rPr>
        <w:t>EnronOnline</w:t>
        <w:tab/>
        <w:t>1</w:t>
        <w:tab/>
        <w:t>0</w:t>
        <w:tab/>
        <w:t>1</w:t>
      </w:r>
    </w:p>
    <w:p>
      <w:pPr>
        <w:pStyle w:val="BodyTextIndent2"/>
        <w:tabs>
          <w:tab w:val="clear" w:pos="720"/>
          <w:tab w:val="right" w:pos="6120" w:leader="none"/>
          <w:tab w:val="right" w:pos="7200" w:leader="none"/>
          <w:tab w:val="right" w:pos="8280" w:leader="none"/>
        </w:tabs>
        <w:ind w:start="0" w:end="0"/>
        <w:rPr>
          <w:sz w:val="20"/>
        </w:rPr>
      </w:pPr>
      <w:r>
        <w:rPr>
          <w:sz w:val="20"/>
        </w:rPr>
        <w:t>Credit</w:t>
        <w:tab/>
        <w:t>30</w:t>
        <w:tab/>
        <w:t>3</w:t>
        <w:tab/>
        <w:t>27</w:t>
      </w:r>
    </w:p>
    <w:p>
      <w:pPr>
        <w:pStyle w:val="BodyTextIndent2"/>
        <w:tabs>
          <w:tab w:val="clear" w:pos="720"/>
          <w:tab w:val="right" w:pos="6120" w:leader="none"/>
          <w:tab w:val="right" w:pos="7200" w:leader="none"/>
          <w:tab w:val="right" w:pos="8280" w:leader="none"/>
        </w:tabs>
        <w:ind w:start="0" w:end="0"/>
        <w:rPr>
          <w:sz w:val="20"/>
        </w:rPr>
      </w:pPr>
      <w:r>
        <w:rPr>
          <w:sz w:val="20"/>
        </w:rPr>
        <w:t>Legal</w:t>
        <w:tab/>
        <w:t>16</w:t>
        <w:tab/>
        <w:t>2</w:t>
        <w:tab/>
        <w:t>14</w:t>
      </w:r>
    </w:p>
    <w:p>
      <w:pPr>
        <w:pStyle w:val="BodyTextIndent2"/>
        <w:tabs>
          <w:tab w:val="clear" w:pos="720"/>
          <w:tab w:val="right" w:pos="6120" w:leader="none"/>
          <w:tab w:val="right" w:pos="7200" w:leader="none"/>
          <w:tab w:val="right" w:pos="8280" w:leader="none"/>
        </w:tabs>
        <w:ind w:start="0" w:end="0"/>
        <w:rPr>
          <w:sz w:val="20"/>
        </w:rPr>
      </w:pPr>
      <w:r>
        <w:rPr>
          <w:sz w:val="20"/>
        </w:rPr>
        <w:t>Global</w:t>
        <w:tab/>
        <w:t>0</w:t>
        <w:tab/>
        <w:t>0</w:t>
        <w:tab/>
        <w:t>0</w:t>
      </w:r>
    </w:p>
    <w:p>
      <w:pPr>
        <w:pStyle w:val="BodyTextIndent2"/>
        <w:tabs>
          <w:tab w:val="clear" w:pos="720"/>
          <w:tab w:val="right" w:pos="6120" w:leader="none"/>
          <w:tab w:val="right" w:pos="7200" w:leader="none"/>
          <w:tab w:val="right" w:pos="8280" w:leader="none"/>
        </w:tabs>
        <w:ind w:start="0" w:end="0"/>
        <w:rPr>
          <w:sz w:val="20"/>
        </w:rPr>
      </w:pPr>
      <w:r>
        <w:rPr>
          <w:sz w:val="20"/>
        </w:rPr>
        <w:t>Customer</w:t>
        <w:tab/>
        <w:t>22</w:t>
        <w:tab/>
        <w:t>3</w:t>
        <w:tab/>
        <w:t>19</w:t>
      </w:r>
    </w:p>
    <w:p>
      <w:pPr>
        <w:pStyle w:val="BodyTextIndent2"/>
        <w:tabs>
          <w:tab w:val="clear" w:pos="720"/>
          <w:tab w:val="right" w:pos="6120" w:leader="none"/>
          <w:tab w:val="right" w:pos="7200" w:leader="none"/>
          <w:tab w:val="right" w:pos="8280" w:leader="none"/>
        </w:tabs>
        <w:ind w:start="0" w:end="0"/>
        <w:rPr>
          <w:b/>
          <w:sz w:val="20"/>
        </w:rPr>
      </w:pPr>
      <w:r>
        <w:rPr>
          <w:b/>
          <w:sz w:val="20"/>
        </w:rPr>
      </w:r>
    </w:p>
    <w:p>
      <w:pPr>
        <w:pStyle w:val="Heading2"/>
        <w:ind w:hanging="0" w:start="0"/>
        <w:rPr>
          <w:b w:val="false"/>
        </w:rPr>
      </w:pPr>
      <w:r>
        <w:rPr>
          <w:b w:val="false"/>
        </w:rPr>
      </w:r>
    </w:p>
    <w:p>
      <w:pPr>
        <w:pStyle w:val="Heading2"/>
        <w:ind w:hanging="0" w:start="0"/>
        <w:rPr/>
      </w:pPr>
      <w:r>
        <w:rPr/>
      </w:r>
    </w:p>
    <w:p>
      <w:pPr>
        <w:pStyle w:val="Heading2"/>
        <w:ind w:hanging="0" w:start="0"/>
        <w:rPr/>
      </w:pPr>
      <w:bookmarkStart w:id="8" w:name="__RefHeading___Toc480781120"/>
      <w:bookmarkEnd w:id="8"/>
      <w:r>
        <w:rPr/>
        <w:t>E  Auctions</w:t>
      </w:r>
    </w:p>
    <w:p>
      <w:pPr>
        <w:pStyle w:val="Normal"/>
        <w:rPr/>
      </w:pPr>
      <w:r>
        <w:rPr/>
      </w:r>
    </w:p>
    <w:tbl>
      <w:tblPr>
        <w:tblW w:w="9768" w:type="dxa"/>
        <w:jc w:val="start"/>
        <w:tblInd w:w="0" w:type="dxa"/>
        <w:tblLayout w:type="fixed"/>
        <w:tblCellMar>
          <w:top w:w="0" w:type="dxa"/>
          <w:start w:w="30" w:type="dxa"/>
          <w:bottom w:w="0" w:type="dxa"/>
          <w:end w:w="30" w:type="dxa"/>
        </w:tblCellMar>
      </w:tblPr>
      <w:tblGrid>
        <w:gridCol w:w="3450"/>
        <w:gridCol w:w="1530"/>
        <w:gridCol w:w="1350"/>
        <w:gridCol w:w="1116"/>
        <w:gridCol w:w="2322"/>
      </w:tblGrid>
      <w:tr>
        <w:trPr>
          <w:trHeight w:val="322" w:hRule="atLeast"/>
        </w:trPr>
        <w:tc>
          <w:tcPr>
            <w:tcW w:w="3450" w:type="dxa"/>
            <w:tcBorders/>
            <w:shd w:fill="FFFFFF" w:val="clear"/>
          </w:tcPr>
          <w:p>
            <w:pPr>
              <w:pStyle w:val="Normal"/>
              <w:rPr>
                <w:rFonts w:ascii="Arial" w:hAnsi="Arial" w:cs="Arial"/>
                <w:b/>
                <w:color w:val="000000"/>
                <w:sz w:val="18"/>
                <w:u w:val="single"/>
                <w:lang w:eastAsia="en-US"/>
              </w:rPr>
            </w:pPr>
            <w:bookmarkStart w:id="9" w:name="__RefHeading___Toc480781121"/>
            <w:bookmarkEnd w:id="9"/>
            <w:r>
              <w:rPr>
                <w:rFonts w:cs="Arial" w:ascii="Arial" w:hAnsi="Arial"/>
                <w:b/>
                <w:color w:val="000000"/>
                <w:sz w:val="18"/>
                <w:u w:val="single"/>
                <w:lang w:eastAsia="en-US"/>
              </w:rPr>
              <w:t>Prior Months:</w:t>
            </w:r>
          </w:p>
        </w:tc>
        <w:tc>
          <w:tcPr>
            <w:tcW w:w="1530"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Trades:</w:t>
            </w:r>
          </w:p>
        </w:tc>
        <w:tc>
          <w:tcPr>
            <w:tcW w:w="1350"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Volume</w:t>
            </w:r>
          </w:p>
        </w:tc>
        <w:tc>
          <w:tcPr>
            <w:tcW w:w="1116" w:type="dxa"/>
            <w:tcBorders/>
            <w:shd w:fill="FFFFFF" w:val="clear"/>
          </w:tcPr>
          <w:p>
            <w:pPr>
              <w:pStyle w:val="Normal"/>
              <w:jc w:val="center"/>
              <w:rPr>
                <w:rFonts w:ascii="Arial" w:hAnsi="Arial" w:cs="Arial"/>
                <w:b/>
                <w:color w:val="000000"/>
                <w:sz w:val="18"/>
                <w:u w:val="single"/>
                <w:lang w:eastAsia="en-US"/>
              </w:rPr>
            </w:pPr>
            <w:r>
              <w:rPr>
                <w:rFonts w:cs="Arial" w:ascii="Arial" w:hAnsi="Arial"/>
                <w:b/>
                <w:color w:val="000000"/>
                <w:sz w:val="18"/>
                <w:u w:val="single"/>
                <w:lang w:eastAsia="en-US"/>
              </w:rPr>
              <w:t>UoM</w:t>
            </w:r>
          </w:p>
        </w:tc>
        <w:tc>
          <w:tcPr>
            <w:tcW w:w="2322" w:type="dxa"/>
            <w:tcBorders/>
            <w:shd w:fill="FFFFFF" w:val="clear"/>
          </w:tcPr>
          <w:p>
            <w:pPr>
              <w:pStyle w:val="Normal"/>
              <w:jc w:val="center"/>
              <w:rPr>
                <w:rFonts w:ascii="Arial" w:hAnsi="Arial" w:cs="Arial"/>
                <w:b/>
                <w:color w:val="000000"/>
                <w:sz w:val="18"/>
                <w:u w:val="single"/>
                <w:lang w:eastAsia="en-US"/>
              </w:rPr>
            </w:pPr>
            <w:r>
              <w:rPr>
                <w:rFonts w:eastAsia="Arial" w:cs="Arial" w:ascii="Arial" w:hAnsi="Arial"/>
                <w:b/>
                <w:color w:val="000000"/>
                <w:sz w:val="18"/>
                <w:u w:val="single"/>
                <w:lang w:eastAsia="en-US"/>
              </w:rPr>
              <w:t xml:space="preserve"> </w:t>
            </w:r>
            <w:r>
              <w:rPr>
                <w:rFonts w:cs="Arial" w:ascii="Arial" w:hAnsi="Arial"/>
                <w:b/>
                <w:color w:val="000000"/>
                <w:sz w:val="18"/>
                <w:u w:val="single"/>
                <w:lang w:eastAsia="en-US"/>
              </w:rPr>
              <w:t xml:space="preserve">Notional Value: </w:t>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SO2 Allowances</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9</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23,000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Credits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3,141,180 </w:t>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EnBANK Synthetic Gas Storage Auction</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5</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6,466,141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MMBtu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24,485,132 </w:t>
            </w:r>
          </w:p>
        </w:tc>
      </w:tr>
      <w:tr>
        <w:trPr>
          <w:trHeight w:val="262" w:hRule="atLeast"/>
        </w:trPr>
        <w:tc>
          <w:tcPr>
            <w:tcW w:w="3450" w:type="dxa"/>
            <w:tcBorders/>
            <w:shd w:fill="FFFFFF" w:val="clear"/>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153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16"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322"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322" w:hRule="atLeast"/>
        </w:trPr>
        <w:tc>
          <w:tcPr>
            <w:tcW w:w="3450" w:type="dxa"/>
            <w:tcBorders/>
            <w:shd w:fill="FFFFFF" w:val="clear"/>
          </w:tcPr>
          <w:p>
            <w:pPr>
              <w:pStyle w:val="Normal"/>
              <w:rPr>
                <w:rFonts w:ascii="Arial" w:hAnsi="Arial" w:cs="Arial"/>
                <w:b/>
                <w:color w:val="000000"/>
                <w:sz w:val="18"/>
                <w:u w:val="single"/>
                <w:lang w:eastAsia="en-US"/>
              </w:rPr>
            </w:pPr>
            <w:r>
              <w:rPr>
                <w:rFonts w:cs="Arial" w:ascii="Arial" w:hAnsi="Arial"/>
                <w:b/>
                <w:color w:val="000000"/>
                <w:sz w:val="18"/>
                <w:u w:val="single"/>
                <w:lang w:eastAsia="en-US"/>
              </w:rPr>
              <w:t>May:</w:t>
            </w:r>
          </w:p>
        </w:tc>
        <w:tc>
          <w:tcPr>
            <w:tcW w:w="1530" w:type="dxa"/>
            <w:tcBorders/>
            <w:shd w:fill="FFFFFF" w:val="clear"/>
          </w:tcPr>
          <w:p>
            <w:pPr>
              <w:pStyle w:val="Normal"/>
              <w:snapToGrid w:val="false"/>
              <w:jc w:val="center"/>
              <w:rPr>
                <w:rFonts w:ascii="Arial" w:hAnsi="Arial" w:cs="Arial"/>
                <w:b/>
                <w:color w:val="000000"/>
                <w:sz w:val="18"/>
                <w:u w:val="single"/>
                <w:lang w:eastAsia="en-US"/>
              </w:rPr>
            </w:pPr>
            <w:r>
              <w:rPr>
                <w:rFonts w:cs="Arial" w:ascii="Arial" w:hAnsi="Arial"/>
                <w:b/>
                <w:color w:val="000000"/>
                <w:sz w:val="18"/>
                <w:u w:val="single"/>
                <w:lang w:eastAsia="en-US"/>
              </w:rPr>
            </w:r>
          </w:p>
        </w:tc>
        <w:tc>
          <w:tcPr>
            <w:tcW w:w="1350"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116"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2322" w:type="dxa"/>
            <w:tcBorders/>
            <w:shd w:fill="FFFFFF" w:val="clear"/>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r>
        <w:trPr>
          <w:trHeight w:val="262" w:hRule="atLeast"/>
        </w:trPr>
        <w:tc>
          <w:tcPr>
            <w:tcW w:w="3450" w:type="dxa"/>
            <w:tcBorders/>
            <w:shd w:fill="FFFFFF" w:val="clear"/>
          </w:tcPr>
          <w:p>
            <w:pPr>
              <w:pStyle w:val="Normal"/>
              <w:rPr>
                <w:rFonts w:ascii="Arial" w:hAnsi="Arial" w:cs="Arial"/>
                <w:color w:val="000000"/>
                <w:sz w:val="18"/>
                <w:lang w:eastAsia="en-US"/>
              </w:rPr>
            </w:pPr>
            <w:r>
              <w:rPr>
                <w:rFonts w:cs="Arial" w:ascii="Arial" w:hAnsi="Arial"/>
                <w:color w:val="000000"/>
                <w:sz w:val="18"/>
                <w:lang w:eastAsia="en-US"/>
              </w:rPr>
              <w:t>SO2 Allowances</w:t>
            </w:r>
          </w:p>
        </w:tc>
        <w:tc>
          <w:tcPr>
            <w:tcW w:w="1530" w:type="dxa"/>
            <w:tcBorders/>
            <w:shd w:fill="FFFFFF" w:val="clear"/>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1350"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w:t>
            </w:r>
          </w:p>
        </w:tc>
        <w:tc>
          <w:tcPr>
            <w:tcW w:w="1116"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Credits </w:t>
            </w:r>
          </w:p>
        </w:tc>
        <w:tc>
          <w:tcPr>
            <w:tcW w:w="2322" w:type="dxa"/>
            <w:tcBorders/>
            <w:shd w:fill="FFFFFF" w:val="clear"/>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 xml:space="preserve">$                                       -   </w:t>
            </w:r>
          </w:p>
        </w:tc>
      </w:tr>
    </w:tbl>
    <w:p>
      <w:pPr>
        <w:pStyle w:val="Heading2"/>
        <w:ind w:hanging="0" w:start="0"/>
        <w:rPr/>
      </w:pPr>
      <w:r>
        <w:rPr/>
      </w:r>
    </w:p>
    <w:p>
      <w:pPr>
        <w:pStyle w:val="Heading2"/>
        <w:ind w:hanging="0" w:start="0"/>
        <w:rPr/>
      </w:pPr>
      <w:r>
        <w:rPr/>
        <w:t>F  System Issues</w:t>
      </w:r>
    </w:p>
    <w:p>
      <w:pPr>
        <w:pStyle w:val="FootnoteText"/>
        <w:rPr/>
      </w:pPr>
      <w:r>
        <w:rPr/>
      </w:r>
    </w:p>
    <w:p>
      <w:pPr>
        <w:pStyle w:val="Normal"/>
        <w:rPr>
          <w:rFonts w:ascii="Arial" w:hAnsi="Arial" w:eastAsia="Arial" w:cs="Arial"/>
        </w:rPr>
      </w:pPr>
      <w:r>
        <w:rPr>
          <w:rFonts w:eastAsia="Arial" w:cs="Arial" w:ascii="Arial" w:hAnsi="Arial"/>
        </w:rPr>
        <w:t xml:space="preserve"> </w:t>
      </w:r>
    </w:p>
    <w:p>
      <w:pPr>
        <w:pStyle w:val="FootnoteText"/>
        <w:rPr>
          <w:rFonts w:ascii="Arial" w:hAnsi="Arial" w:cs="Arial"/>
        </w:rPr>
      </w:pPr>
      <w:r>
        <w:rPr>
          <w:rFonts w:cs="Arial" w:ascii="Arial" w:hAnsi="Arial"/>
        </w:rPr>
        <w:t>There were no system issues that interfered with trading today.</w:t>
      </w:r>
      <w:r>
        <w:br w:type="page"/>
      </w:r>
    </w:p>
    <w:p>
      <w:pPr>
        <w:pStyle w:val="FootnoteText"/>
        <w:rPr>
          <w:rFonts w:ascii="Arial" w:hAnsi="Arial" w:cs="Arial"/>
        </w:rPr>
      </w:pPr>
      <w:r>
        <w:rPr>
          <w:rFonts w:cs="Arial" w:ascii="Arial" w:hAnsi="Arial"/>
        </w:rPr>
      </w:r>
    </w:p>
    <w:p>
      <w:pPr>
        <w:pStyle w:val="Heading2"/>
        <w:ind w:hanging="0" w:start="0"/>
        <w:rPr>
          <w:rFonts w:ascii="Arial" w:hAnsi="Arial" w:cs="Arial"/>
        </w:rPr>
      </w:pPr>
      <w:r>
        <w:rPr>
          <w:rFonts w:cs="Arial"/>
        </w:rPr>
      </w:r>
    </w:p>
    <w:p>
      <w:pPr>
        <w:pStyle w:val="Heading2"/>
        <w:ind w:hanging="0" w:start="0"/>
        <w:rPr/>
      </w:pPr>
      <w:bookmarkStart w:id="10" w:name="__RefHeading___Toc480781122"/>
      <w:bookmarkEnd w:id="10"/>
      <w:r>
        <w:rPr/>
        <w:t>G  Customer Activity  Top Customers by Commodity (Today)</w:t>
      </w:r>
    </w:p>
    <w:p>
      <w:pPr>
        <w:pStyle w:val="FootnoteText"/>
        <w:rPr>
          <w:rFonts w:ascii="Arial" w:hAnsi="Arial" w:cs="Arial"/>
        </w:rPr>
      </w:pPr>
      <w:r>
        <w:rPr>
          <w:rFonts w:eastAsia="Arial" w:cs="Arial" w:ascii="Arial" w:hAnsi="Arial"/>
        </w:rPr>
        <w:t xml:space="preserve">     </w:t>
      </w:r>
      <w:r>
        <w:rPr>
          <w:rFonts w:cs="Arial" w:ascii="Arial" w:hAnsi="Arial"/>
        </w:rPr>
        <w:t>Page 1 of 2</w:t>
      </w:r>
    </w:p>
    <w:p>
      <w:pPr>
        <w:pStyle w:val="FootnoteText"/>
        <w:rPr>
          <w:rFonts w:ascii="Arial" w:hAnsi="Arial" w:cs="Arial"/>
        </w:rPr>
      </w:pPr>
      <w:r>
        <w:rPr>
          <w:rFonts w:cs="Arial" w:ascii="Arial" w:hAnsi="Arial"/>
        </w:rPr>
      </w:r>
    </w:p>
    <w:tbl>
      <w:tblPr>
        <w:tblW w:w="9252" w:type="dxa"/>
        <w:jc w:val="start"/>
        <w:tblInd w:w="0" w:type="dxa"/>
        <w:tblLayout w:type="fixed"/>
        <w:tblCellMar>
          <w:top w:w="0" w:type="dxa"/>
          <w:start w:w="30" w:type="dxa"/>
          <w:bottom w:w="0" w:type="dxa"/>
          <w:end w:w="30" w:type="dxa"/>
        </w:tblCellMar>
      </w:tblPr>
      <w:tblGrid>
        <w:gridCol w:w="3450"/>
        <w:gridCol w:w="1073"/>
        <w:gridCol w:w="504"/>
        <w:gridCol w:w="1573"/>
        <w:gridCol w:w="720"/>
        <w:gridCol w:w="1440"/>
        <w:gridCol w:w="492"/>
      </w:tblGrid>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top w:val="single" w:sz="6" w:space="0" w:color="000000"/>
              <w:start w:val="single" w:sz="6" w:space="0" w:color="000000"/>
              <w:bottom w:val="single" w:sz="6" w:space="0" w:color="000000"/>
            </w:tcBorders>
            <w:shd w:fill="C0C0C0" w:val="clear"/>
          </w:tcPr>
          <w:p>
            <w:pPr>
              <w:pStyle w:val="Normal"/>
              <w:rPr>
                <w:rFonts w:ascii="Arial" w:hAnsi="Arial" w:cs="Arial"/>
                <w:b/>
                <w:color w:val="000000"/>
                <w:sz w:val="14"/>
                <w:lang w:eastAsia="en-US"/>
              </w:rPr>
            </w:pPr>
            <w:r>
              <w:rPr>
                <w:rFonts w:cs="Arial" w:ascii="Arial" w:hAnsi="Arial"/>
                <w:b/>
                <w:color w:val="000000"/>
                <w:sz w:val="14"/>
                <w:lang w:eastAsia="en-US"/>
              </w:rPr>
              <w:t>For 06/26/00</w:t>
            </w:r>
          </w:p>
        </w:tc>
        <w:tc>
          <w:tcPr>
            <w:tcW w:w="504" w:type="dxa"/>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573"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72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44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492" w:type="dxa"/>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504"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573"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72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44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492" w:type="dxa"/>
            <w:tcBorders>
              <w:top w:val="single" w:sz="6" w:space="0" w:color="000000"/>
              <w:end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209" w:hRule="atLeast"/>
        </w:trPr>
        <w:tc>
          <w:tcPr>
            <w:tcW w:w="3450" w:type="dxa"/>
            <w:tcBorders>
              <w:start w:val="single" w:sz="6" w:space="0" w:color="000000"/>
              <w:bottom w:val="single" w:sz="6" w:space="0" w:color="000000"/>
            </w:tcBorders>
            <w:shd w:fill="C0C0C0" w:val="clear"/>
          </w:tcPr>
          <w:p>
            <w:pPr>
              <w:pStyle w:val="Normal"/>
              <w:jc w:val="center"/>
              <w:rPr>
                <w:rFonts w:ascii="Arial" w:hAnsi="Arial" w:cs="Arial"/>
                <w:color w:val="000000"/>
                <w:sz w:val="14"/>
                <w:lang w:eastAsia="en-US"/>
              </w:rPr>
            </w:pPr>
            <w:r>
              <w:rPr>
                <w:rFonts w:cs="Arial" w:ascii="Arial" w:hAnsi="Arial"/>
                <w:color w:val="000000"/>
                <w:sz w:val="14"/>
                <w:lang w:eastAsia="en-US"/>
              </w:rPr>
              <w:t>Customer/Product</w:t>
            </w:r>
          </w:p>
        </w:tc>
        <w:tc>
          <w:tcPr>
            <w:tcW w:w="1073"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504"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573" w:type="dxa"/>
            <w:tcBorders>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72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440" w:type="dxa"/>
            <w:tcBorders>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492" w:type="dxa"/>
            <w:tcBorders>
              <w:bottom w:val="single" w:sz="6" w:space="0" w:color="000000"/>
              <w:end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r>
        <w:trPr>
          <w:trHeight w:val="209" w:hRule="atLeast"/>
        </w:trPr>
        <w:tc>
          <w:tcPr>
            <w:tcW w:w="345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Gas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110</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85.3</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21,062,592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32.4</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94,328,299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33.5</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106</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89.8</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16,638,878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69.7</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72,925,899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69.9</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Trading and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105</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91.3</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9,764,232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44,177,994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35.8</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Reliant Energy Services, </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88.6</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11,733,042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58.4</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53,388,773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59.2</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Utilicorp United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80</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89.9</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35,545,000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51.2</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157,740,748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51.7</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Canadian Gas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Canada Corp.</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7,360,117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29,445,833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Coast Energy Canada,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20</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194,302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693,139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Coral Energy Resources, 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1,365,591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5,642,817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Amoco Canada Petroleum Co</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89.5</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198,544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31.1</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713,929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30.1</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Cook Inlet Energy Supply </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1,572,391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6,595,213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Continental Gas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Accord Energy Ltd.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457,500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1,240,040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33.3</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23.5</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25,158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21.8</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222,379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222,379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w:t>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Gas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81.0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1,472,500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75.4</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4,309,355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74.5</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77.8</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1,152,500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99.1</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3,430,564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99.2</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Alliance Gas Limited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702,500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60.4</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2,021,421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59.4</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Cinergy Global Trading Li</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910,000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3,024,501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Total Gas Marketing Limit</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92.3</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160,532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92.3</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Bandwidth</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106,800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56.2</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9,420,000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48.4</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Citizens Power Sales LLC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68.4</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18,600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22.2</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3,292,700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32.7</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30.6</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118,000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39.3</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9,504,200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32.0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47.8</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4,800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1,205,000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11.9</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Trading and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37.5</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35,200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18.8</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2,960,000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17.9</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Australian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Austrian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Steirische Wasserkraft- u</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30,371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Dutch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73.3</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102,720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1,915,431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69.2</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Hamburgische Electricitat</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13,560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94.6</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317,494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97.7</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19,500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409,553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96.9</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German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50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5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72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44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4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Iberian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50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5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4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58,576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45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Aare-Tessin AG fur Elektr</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50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573"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4,200 </w:t>
            </w:r>
          </w:p>
        </w:tc>
        <w:tc>
          <w:tcPr>
            <w:tcW w:w="72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44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82,896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bl>
    <w:p>
      <w:pPr>
        <w:pStyle w:val="Heading7"/>
        <w:ind w:hanging="0" w:end="0"/>
        <w:rPr>
          <w:sz w:val="22"/>
        </w:rPr>
      </w:pPr>
      <w:r>
        <w:br w:type="page"/>
      </w:r>
      <w:r>
        <w:rPr>
          <w:sz w:val="22"/>
        </w:rPr>
        <w:t>Customer Activity  Top Customers by Commodity (Today)</w:t>
      </w:r>
    </w:p>
    <w:p>
      <w:pPr>
        <w:pStyle w:val="Normal"/>
        <w:rPr/>
      </w:pPr>
      <w:r>
        <w:rPr>
          <w:rFonts w:eastAsia="Arial"/>
        </w:rPr>
        <w:t xml:space="preserve"> </w:t>
      </w:r>
      <w:r>
        <w:rPr/>
        <w:t>Page 2 of 2</w:t>
      </w:r>
    </w:p>
    <w:tbl>
      <w:tblPr>
        <w:tblW w:w="9930" w:type="dxa"/>
        <w:jc w:val="start"/>
        <w:tblInd w:w="0" w:type="dxa"/>
        <w:tblLayout w:type="fixed"/>
        <w:tblCellMar>
          <w:top w:w="0" w:type="dxa"/>
          <w:start w:w="30" w:type="dxa"/>
          <w:bottom w:w="0" w:type="dxa"/>
          <w:end w:w="30" w:type="dxa"/>
        </w:tblCellMar>
      </w:tblPr>
      <w:tblGrid>
        <w:gridCol w:w="3720"/>
        <w:gridCol w:w="1170"/>
        <w:gridCol w:w="540"/>
        <w:gridCol w:w="1620"/>
        <w:gridCol w:w="450"/>
        <w:gridCol w:w="1530"/>
        <w:gridCol w:w="900"/>
      </w:tblGrid>
      <w:tr>
        <w:trPr>
          <w:trHeight w:val="209" w:hRule="atLeast"/>
        </w:trPr>
        <w:tc>
          <w:tcPr>
            <w:tcW w:w="372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top w:val="single" w:sz="6" w:space="0" w:color="000000"/>
              <w:start w:val="single" w:sz="6" w:space="0" w:color="000000"/>
              <w:bottom w:val="single" w:sz="6" w:space="0" w:color="000000"/>
            </w:tcBorders>
            <w:shd w:fill="C0C0C0" w:val="clear"/>
          </w:tcPr>
          <w:p>
            <w:pPr>
              <w:pStyle w:val="Normal"/>
              <w:rPr>
                <w:rFonts w:ascii="Arial" w:hAnsi="Arial" w:cs="Arial"/>
                <w:b/>
                <w:color w:val="000000"/>
                <w:sz w:val="14"/>
                <w:lang w:eastAsia="en-US"/>
              </w:rPr>
            </w:pPr>
            <w:r>
              <w:rPr>
                <w:rFonts w:cs="Arial" w:ascii="Arial" w:hAnsi="Arial"/>
                <w:b/>
                <w:color w:val="000000"/>
                <w:sz w:val="14"/>
                <w:lang w:eastAsia="en-US"/>
              </w:rPr>
              <w:t>For 06/26/00</w:t>
            </w:r>
          </w:p>
        </w:tc>
        <w:tc>
          <w:tcPr>
            <w:tcW w:w="540" w:type="dxa"/>
            <w:tcBorders>
              <w:top w:val="single" w:sz="6" w:space="0" w:color="000000"/>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62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45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530" w:type="dxa"/>
            <w:tcBorders>
              <w:top w:val="single" w:sz="6" w:space="0" w:color="000000"/>
              <w:bottom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900" w:type="dxa"/>
            <w:tcBorders>
              <w:top w:val="single" w:sz="6" w:space="0" w:color="000000"/>
              <w:bottom w:val="single" w:sz="6" w:space="0" w:color="000000"/>
              <w:end w:val="single" w:sz="6" w:space="0" w:color="000000"/>
            </w:tcBorders>
            <w:shd w:fill="C0C0C0"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72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54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62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450" w:type="dxa"/>
            <w:tcBorders>
              <w:top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530" w:type="dxa"/>
            <w:tcBorders>
              <w:top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900" w:type="dxa"/>
            <w:tcBorders>
              <w:top w:val="single" w:sz="6" w:space="0" w:color="000000"/>
              <w:end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209" w:hRule="atLeast"/>
        </w:trPr>
        <w:tc>
          <w:tcPr>
            <w:tcW w:w="3720" w:type="dxa"/>
            <w:tcBorders>
              <w:start w:val="single" w:sz="6" w:space="0" w:color="000000"/>
              <w:bottom w:val="single" w:sz="6" w:space="0" w:color="000000"/>
            </w:tcBorders>
            <w:shd w:fill="C0C0C0" w:val="clear"/>
          </w:tcPr>
          <w:p>
            <w:pPr>
              <w:pStyle w:val="Normal"/>
              <w:jc w:val="center"/>
              <w:rPr>
                <w:rFonts w:ascii="Arial" w:hAnsi="Arial" w:cs="Arial"/>
                <w:color w:val="000000"/>
                <w:sz w:val="14"/>
                <w:lang w:eastAsia="en-US"/>
              </w:rPr>
            </w:pPr>
            <w:r>
              <w:rPr>
                <w:rFonts w:cs="Arial" w:ascii="Arial" w:hAnsi="Arial"/>
                <w:color w:val="000000"/>
                <w:sz w:val="14"/>
                <w:lang w:eastAsia="en-US"/>
              </w:rPr>
              <w:t>Customer/Product</w:t>
            </w:r>
          </w:p>
        </w:tc>
        <w:tc>
          <w:tcPr>
            <w:tcW w:w="1170"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54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620" w:type="dxa"/>
            <w:tcBorders>
              <w:bottom w:val="single" w:sz="6" w:space="0" w:color="000000"/>
            </w:tcBorders>
            <w:shd w:fill="C0C0C0"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450" w:type="dxa"/>
            <w:tcBorders>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530" w:type="dxa"/>
            <w:tcBorders>
              <w:bottom w:val="single" w:sz="6" w:space="0" w:color="000000"/>
            </w:tcBorders>
            <w:shd w:fill="C0C0C0"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900" w:type="dxa"/>
            <w:tcBorders>
              <w:bottom w:val="single" w:sz="6" w:space="0" w:color="000000"/>
              <w:end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bl>
    <w:p>
      <w:pPr>
        <w:pStyle w:val="BodyText"/>
        <w:rPr>
          <w:b/>
          <w:sz w:val="14"/>
        </w:rPr>
      </w:pPr>
      <w:r>
        <w:rPr>
          <w:b/>
          <w:sz w:val="14"/>
        </w:rPr>
      </w:r>
    </w:p>
    <w:tbl>
      <w:tblPr>
        <w:tblW w:w="9612" w:type="dxa"/>
        <w:jc w:val="start"/>
        <w:tblInd w:w="0" w:type="dxa"/>
        <w:tblLayout w:type="fixed"/>
        <w:tblCellMar>
          <w:top w:w="0" w:type="dxa"/>
          <w:start w:w="30" w:type="dxa"/>
          <w:bottom w:w="0" w:type="dxa"/>
          <w:end w:w="30" w:type="dxa"/>
        </w:tblCellMar>
      </w:tblPr>
      <w:tblGrid>
        <w:gridCol w:w="3180"/>
        <w:gridCol w:w="1073"/>
        <w:gridCol w:w="1177"/>
        <w:gridCol w:w="1350"/>
        <w:gridCol w:w="990"/>
        <w:gridCol w:w="1350"/>
        <w:gridCol w:w="492"/>
      </w:tblGrid>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Swiss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Other Continental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Hafslund Delta AS</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25,200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245,155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Östkraft AB</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87,600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1,323,248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Økokraft</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22,090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334,941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Nordic Power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Power</w:t>
            </w:r>
            <w:r>
              <w:rPr>
                <w:rStyle w:val="FootnoteCharacters"/>
                <w:rStyle w:val="FootnoteReference"/>
                <w:rFonts w:cs="Arial" w:ascii="Arial" w:hAnsi="Arial"/>
                <w:b/>
                <w:color w:val="000000"/>
                <w:sz w:val="14"/>
                <w:lang w:eastAsia="en-US"/>
              </w:rPr>
              <w:footnoteReference w:id="10"/>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26</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575,000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17,869,700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60.9</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Hess Energy Trading Compa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485,000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14,388,732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55.6</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Hess Energy Trading Compa</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125,000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3,792,500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Crude &amp; Products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 xml:space="preserve">Koch Metals as Agent and </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12</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6,006,000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Ferrell International Lim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176,000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6,718,000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Global Liquids, In</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80,000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3,006,000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51.6</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LPG</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Plastics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Petrochemicals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Coal</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Emissions</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Paper &amp; Pulp</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Energy Trading,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4,245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Utilicorp United Inc.</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380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504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Weather</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62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w:t>
            </w:r>
          </w:p>
        </w:tc>
        <w:tc>
          <w:tcPr>
            <w:tcW w:w="10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w:t>
            </w:r>
          </w:p>
        </w:tc>
        <w:tc>
          <w:tcPr>
            <w:tcW w:w="1177"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99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119 </w:t>
            </w:r>
          </w:p>
        </w:tc>
        <w:tc>
          <w:tcPr>
            <w:tcW w:w="492"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209" w:hRule="atLeast"/>
        </w:trPr>
        <w:tc>
          <w:tcPr>
            <w:tcW w:w="318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0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177"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9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92"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209" w:hRule="atLeast"/>
        </w:trPr>
        <w:tc>
          <w:tcPr>
            <w:tcW w:w="318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"%T" is the percentage of EOL to customer total trading activity</w:t>
            </w:r>
          </w:p>
        </w:tc>
        <w:tc>
          <w:tcPr>
            <w:tcW w:w="1073"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7"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9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92"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bl>
    <w:p>
      <w:pPr>
        <w:pStyle w:val="BodyText"/>
        <w:rPr>
          <w:b/>
          <w:sz w:val="14"/>
        </w:rPr>
      </w:pPr>
      <w:r>
        <w:br w:type="page"/>
      </w:r>
      <w:r>
        <w:rPr>
          <w:b/>
          <w:sz w:val="14"/>
        </w:rPr>
      </w:r>
    </w:p>
    <w:p>
      <w:pPr>
        <w:pStyle w:val="BodyText"/>
        <w:rPr>
          <w:b/>
        </w:rPr>
      </w:pPr>
      <w:r>
        <w:rPr>
          <w:b/>
        </w:rPr>
        <w:t>Top Customers by Commodity (Life to Date)</w:t>
      </w:r>
    </w:p>
    <w:p>
      <w:pPr>
        <w:pStyle w:val="Normal"/>
        <w:rPr>
          <w:rFonts w:ascii="Arial" w:hAnsi="Arial" w:cs="Arial"/>
          <w:sz w:val="18"/>
        </w:rPr>
      </w:pPr>
      <w:r>
        <w:rPr>
          <w:rFonts w:cs="Arial" w:ascii="Arial" w:hAnsi="Arial"/>
          <w:sz w:val="18"/>
        </w:rPr>
        <w:t>Page 1 of  2</w:t>
      </w:r>
    </w:p>
    <w:p>
      <w:pPr>
        <w:pStyle w:val="FootnoteText"/>
        <w:rPr>
          <w:rFonts w:ascii="Arial" w:hAnsi="Arial" w:cs="Arial"/>
          <w:sz w:val="18"/>
        </w:rPr>
      </w:pPr>
      <w:r>
        <w:rPr>
          <w:rFonts w:cs="Arial" w:ascii="Arial" w:hAnsi="Arial"/>
          <w:sz w:val="18"/>
        </w:rPr>
      </w:r>
    </w:p>
    <w:tbl>
      <w:tblPr>
        <w:tblW w:w="9401" w:type="dxa"/>
        <w:jc w:val="start"/>
        <w:tblInd w:w="0" w:type="dxa"/>
        <w:tblLayout w:type="fixed"/>
        <w:tblCellMar>
          <w:top w:w="0" w:type="dxa"/>
          <w:start w:w="30" w:type="dxa"/>
          <w:bottom w:w="0" w:type="dxa"/>
          <w:end w:w="30" w:type="dxa"/>
        </w:tblCellMar>
      </w:tblPr>
      <w:tblGrid>
        <w:gridCol w:w="3540"/>
        <w:gridCol w:w="1170"/>
        <w:gridCol w:w="614"/>
        <w:gridCol w:w="1350"/>
        <w:gridCol w:w="916"/>
        <w:gridCol w:w="1350"/>
        <w:gridCol w:w="461"/>
      </w:tblGrid>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top w:val="single" w:sz="6" w:space="0" w:color="000000"/>
              <w:start w:val="single" w:sz="6" w:space="0" w:color="000000"/>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Life to Date</w:t>
            </w:r>
          </w:p>
        </w:tc>
        <w:tc>
          <w:tcPr>
            <w:tcW w:w="614" w:type="dxa"/>
            <w:tcBorders>
              <w:top w:val="single" w:sz="6" w:space="0" w:color="000000"/>
              <w:bottom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916"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1350"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c>
          <w:tcPr>
            <w:tcW w:w="461" w:type="dxa"/>
            <w:tcBorders>
              <w:top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614"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Gross Not </w:t>
            </w:r>
          </w:p>
        </w:tc>
        <w:tc>
          <w:tcPr>
            <w:tcW w:w="916" w:type="dxa"/>
            <w:tcBorders>
              <w:top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350" w:type="dxa"/>
            <w:tcBorders>
              <w:top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Value </w:t>
            </w:r>
          </w:p>
        </w:tc>
        <w:tc>
          <w:tcPr>
            <w:tcW w:w="461" w:type="dxa"/>
            <w:tcBorders>
              <w:top w:val="single" w:sz="6" w:space="0" w:color="000000"/>
              <w:end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r>
      <w:tr>
        <w:trPr>
          <w:trHeight w:val="197" w:hRule="atLeast"/>
        </w:trPr>
        <w:tc>
          <w:tcPr>
            <w:tcW w:w="3540" w:type="dxa"/>
            <w:tcBorders>
              <w:start w:val="single" w:sz="6" w:space="0" w:color="000000"/>
              <w:bottom w:val="single" w:sz="6" w:space="0" w:color="000000"/>
            </w:tcBorders>
            <w:shd w:fill="C0C0C0" w:val="clear"/>
          </w:tcPr>
          <w:p>
            <w:pPr>
              <w:pStyle w:val="Normal"/>
              <w:jc w:val="center"/>
              <w:rPr>
                <w:rFonts w:ascii="Arial" w:hAnsi="Arial" w:cs="Arial"/>
                <w:b/>
                <w:color w:val="000000"/>
                <w:sz w:val="14"/>
                <w:lang w:eastAsia="en-US"/>
              </w:rPr>
            </w:pPr>
            <w:r>
              <w:rPr>
                <w:rFonts w:cs="Arial" w:ascii="Arial" w:hAnsi="Arial"/>
                <w:b/>
                <w:color w:val="000000"/>
                <w:sz w:val="14"/>
                <w:lang w:eastAsia="en-US"/>
              </w:rPr>
              <w:t>Customer/Product</w:t>
            </w:r>
          </w:p>
        </w:tc>
        <w:tc>
          <w:tcPr>
            <w:tcW w:w="1170" w:type="dxa"/>
            <w:tcBorders>
              <w:start w:val="single" w:sz="6" w:space="0" w:color="000000"/>
              <w:bottom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Trans</w:t>
            </w:r>
          </w:p>
        </w:tc>
        <w:tc>
          <w:tcPr>
            <w:tcW w:w="614" w:type="dxa"/>
            <w:tcBorders>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350" w:type="dxa"/>
            <w:tcBorders>
              <w:bottom w:val="single" w:sz="6" w:space="0" w:color="000000"/>
            </w:tcBorders>
            <w:shd w:fill="FFFFFF" w:val="clear"/>
          </w:tcPr>
          <w:p>
            <w:pPr>
              <w:pStyle w:val="Normal"/>
              <w:jc w:val="center"/>
              <w:rPr>
                <w:rFonts w:ascii="Arial" w:hAnsi="Arial" w:cs="Arial"/>
                <w:b/>
                <w:color w:val="000000"/>
                <w:sz w:val="14"/>
                <w:lang w:eastAsia="en-US"/>
              </w:rPr>
            </w:pPr>
            <w:r>
              <w:rPr>
                <w:rFonts w:eastAsia="Arial" w:cs="Arial" w:ascii="Arial" w:hAnsi="Arial"/>
                <w:b/>
                <w:color w:val="000000"/>
                <w:sz w:val="14"/>
                <w:lang w:eastAsia="en-US"/>
              </w:rPr>
              <w:t xml:space="preserve"> </w:t>
            </w:r>
            <w:r>
              <w:rPr>
                <w:rFonts w:cs="Arial" w:ascii="Arial" w:hAnsi="Arial"/>
                <w:b/>
                <w:color w:val="000000"/>
                <w:sz w:val="14"/>
                <w:lang w:eastAsia="en-US"/>
              </w:rPr>
              <w:t xml:space="preserve">Volume </w:t>
            </w:r>
          </w:p>
        </w:tc>
        <w:tc>
          <w:tcPr>
            <w:tcW w:w="916" w:type="dxa"/>
            <w:tcBorders>
              <w:bottom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c>
          <w:tcPr>
            <w:tcW w:w="1350" w:type="dxa"/>
            <w:tcBorders>
              <w:bottom w:val="single" w:sz="6" w:space="0" w:color="000000"/>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461" w:type="dxa"/>
            <w:tcBorders>
              <w:bottom w:val="single" w:sz="6" w:space="0" w:color="000000"/>
              <w:end w:val="single" w:sz="6" w:space="0" w:color="000000"/>
            </w:tcBorders>
            <w:shd w:fill="FFFFFF" w:val="clear"/>
          </w:tcPr>
          <w:p>
            <w:pPr>
              <w:pStyle w:val="Normal"/>
              <w:jc w:val="center"/>
              <w:rPr>
                <w:rFonts w:ascii="Arial" w:hAnsi="Arial" w:cs="Arial"/>
                <w:b/>
                <w:color w:val="000000"/>
                <w:sz w:val="14"/>
                <w:lang w:eastAsia="en-US"/>
              </w:rPr>
            </w:pPr>
            <w:r>
              <w:rPr>
                <w:rFonts w:cs="Arial" w:ascii="Arial" w:hAnsi="Arial"/>
                <w:b/>
                <w:color w:val="000000"/>
                <w:sz w:val="14"/>
                <w:lang w:eastAsia="en-US"/>
              </w:rPr>
              <w:t>%T</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Gas</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8,371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1,762,676,510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5,622,925,960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58.4</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Corporation</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6,855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84.9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3,270,432,226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10,635,978,189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79.4</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Trading and Marketing, L</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5,999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797,280,813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2,881,611,566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48.3</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 Gas, L.P.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5,500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2,340,506,602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8,017,263,321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35.6</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5,329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133,872,955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424,392,360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59.7</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Canadian Gas</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Marketing Limited Partne</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2,853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1,123,477,054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3,341,501,764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79.7</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Coral Energy Resources, a division o</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2,048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141,374,795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430,200,656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72.4</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Canada Corp.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1,938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96.9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314,871,262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954,439,970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90.6</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Cook Inlet Energy Supply Limited Par</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1,331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18,478,816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57,723,440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76.4</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Canada Inc.</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1,275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237,515,271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661,176,504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88.7</w:t>
            </w:r>
          </w:p>
        </w:tc>
      </w:tr>
      <w:tr>
        <w:trPr>
          <w:trHeight w:val="197"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1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Continental Gas</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98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64.1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14,055,000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35,905,337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59.8</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Accord Energy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53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40.8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12,392,500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30,743,679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33.8</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47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26.9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2,637,500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6,212,335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Gas</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1,127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144,782,500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341,267,893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51.3</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Elf Gas and Power Limited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540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73,527,500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166,087,709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59.9</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Marketing Limite</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451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97,792,500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239,388,300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87.1</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Accord Energy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404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67,427,500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152,062,167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15.3</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Alliance Gas Limited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385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60,500,000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143,797,476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63.6</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Bandwidth</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L.P.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94,845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39.2</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BROADWING COMMUNICATION SERVICES INC</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r>
      <w:tr>
        <w:trPr>
          <w:trHeight w:val="197"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17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614"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916"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6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US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1,231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13,983,400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648,726,000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33.6</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 Paso Merchant Energy, L.P.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980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46.8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7,515,152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29.6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406,499,696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28.4</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Cinergy Services, Inc.</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881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42.8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2,475,200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78,774,160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26.7</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656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8,165,200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48.8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455,961,916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50.0</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Service Corp</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575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12,470,100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12.2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703,498,564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15.4</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Australian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Australia Trading &amp; Mark</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53.3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92,895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1,641,401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44.7</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Australia Trading &amp; Mark</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92,970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2,114,554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59.8</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Trading</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18.2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47,400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924,096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10.9</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Austrian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Osterreichische Elektrizitaetswirtsc</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25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41.0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67,260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43.2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913,147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36.9</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EVN AG</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22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120,300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1,596,255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86.7</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E&amp;T Energie Handelsgesellschaft m.b.</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9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86,100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11.8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1,081,445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w:t>
            </w:r>
          </w:p>
        </w:tc>
      </w:tr>
      <w:tr>
        <w:trPr>
          <w:trHeight w:val="197" w:hRule="atLeast"/>
        </w:trPr>
        <w:tc>
          <w:tcPr>
            <w:tcW w:w="354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1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Dutch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Hamburgische Electricitats-Werke AG</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410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2,906,328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45,247,221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50.3</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364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2,178,744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53.6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37,805,547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51.7</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EnBW Gesellschaft fur Stromhandel mb</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163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40.1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439,680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33.5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7,738,486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34.3</w:t>
            </w:r>
          </w:p>
        </w:tc>
      </w:tr>
      <w:tr>
        <w:trPr>
          <w:trHeight w:val="197" w:hRule="atLeast"/>
        </w:trPr>
        <w:tc>
          <w:tcPr>
            <w:tcW w:w="354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17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German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Limited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58.3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21,920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584,620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45.9</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18,000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412,072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8,640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19.7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194,717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16.9</w:t>
            </w:r>
          </w:p>
        </w:tc>
      </w:tr>
      <w:tr>
        <w:trPr>
          <w:trHeight w:val="197" w:hRule="atLeast"/>
        </w:trPr>
        <w:tc>
          <w:tcPr>
            <w:tcW w:w="354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Iberian Power</w:t>
            </w:r>
          </w:p>
        </w:tc>
        <w:tc>
          <w:tcPr>
            <w:tcW w:w="117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614"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916"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38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151,390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2,655,295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17.1</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Aare-Tessin AG fur Elektrizitat</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32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37.2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89,250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1,603,892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44.2</w:t>
            </w:r>
          </w:p>
        </w:tc>
      </w:tr>
      <w:tr>
        <w:trPr>
          <w:trHeight w:val="197" w:hRule="atLeast"/>
        </w:trPr>
        <w:tc>
          <w:tcPr>
            <w:tcW w:w="354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Europe Ltd</w:t>
            </w:r>
          </w:p>
        </w:tc>
        <w:tc>
          <w:tcPr>
            <w:tcW w:w="117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30 </w:t>
            </w:r>
          </w:p>
        </w:tc>
        <w:tc>
          <w:tcPr>
            <w:tcW w:w="614"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85.7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117,750 </w:t>
            </w:r>
          </w:p>
        </w:tc>
        <w:tc>
          <w:tcPr>
            <w:tcW w:w="91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2,259,492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77.9</w:t>
            </w:r>
          </w:p>
        </w:tc>
      </w:tr>
    </w:tbl>
    <w:p>
      <w:pPr>
        <w:pStyle w:val="FootnoteText"/>
        <w:rPr/>
      </w:pPr>
      <w:r>
        <w:br w:type="page"/>
      </w:r>
      <w:r>
        <w:rPr/>
      </w:r>
    </w:p>
    <w:p>
      <w:pPr>
        <w:pStyle w:val="BodyText"/>
        <w:rPr>
          <w:b/>
        </w:rPr>
      </w:pPr>
      <w:r>
        <w:rPr>
          <w:b/>
        </w:rPr>
        <w:t>Top Customers by Commodity (Life to Date)</w:t>
      </w:r>
    </w:p>
    <w:p>
      <w:pPr>
        <w:pStyle w:val="FootnoteText"/>
        <w:rPr/>
      </w:pPr>
      <w:r>
        <w:rPr/>
        <w:t>Page 2 of 2</w:t>
      </w:r>
    </w:p>
    <w:tbl>
      <w:tblPr>
        <w:tblW w:w="10020" w:type="dxa"/>
        <w:jc w:val="start"/>
        <w:tblInd w:w="0" w:type="dxa"/>
        <w:tblLayout w:type="fixed"/>
        <w:tblCellMar>
          <w:top w:w="0" w:type="dxa"/>
          <w:start w:w="30" w:type="dxa"/>
          <w:bottom w:w="0" w:type="dxa"/>
          <w:end w:w="30" w:type="dxa"/>
        </w:tblCellMar>
      </w:tblPr>
      <w:tblGrid>
        <w:gridCol w:w="3720"/>
        <w:gridCol w:w="1170"/>
        <w:gridCol w:w="704"/>
        <w:gridCol w:w="1671"/>
        <w:gridCol w:w="794"/>
        <w:gridCol w:w="1241"/>
        <w:gridCol w:w="720"/>
      </w:tblGrid>
      <w:tr>
        <w:trPr>
          <w:trHeight w:val="197" w:hRule="atLeast"/>
        </w:trPr>
        <w:tc>
          <w:tcPr>
            <w:tcW w:w="3720" w:type="dxa"/>
            <w:tcBorders/>
            <w:shd w:fill="FFFFFF"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70" w:type="dxa"/>
            <w:tcBorders>
              <w:top w:val="single" w:sz="6" w:space="0" w:color="000000"/>
              <w:start w:val="single" w:sz="6" w:space="0" w:color="000000"/>
              <w:bottom w:val="single" w:sz="6" w:space="0" w:color="000000"/>
            </w:tcBorders>
            <w:shd w:fill="FFFFFF" w:val="clear"/>
          </w:tcPr>
          <w:p>
            <w:pPr>
              <w:pStyle w:val="Normal"/>
              <w:jc w:val="center"/>
              <w:rPr>
                <w:rFonts w:ascii="Arial" w:hAnsi="Arial" w:cs="Arial"/>
                <w:b/>
                <w:color w:val="000000"/>
                <w:sz w:val="16"/>
                <w:lang w:eastAsia="en-US"/>
              </w:rPr>
            </w:pPr>
            <w:r>
              <w:rPr>
                <w:rFonts w:cs="Arial" w:ascii="Arial" w:hAnsi="Arial"/>
                <w:b/>
                <w:color w:val="000000"/>
                <w:sz w:val="16"/>
                <w:lang w:eastAsia="en-US"/>
              </w:rPr>
              <w:t>Life to Date</w:t>
            </w:r>
          </w:p>
        </w:tc>
        <w:tc>
          <w:tcPr>
            <w:tcW w:w="704" w:type="dxa"/>
            <w:tcBorders>
              <w:top w:val="single" w:sz="6" w:space="0" w:color="000000"/>
              <w:bottom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671"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794"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1241" w:type="dxa"/>
            <w:tcBorders>
              <w:top w:val="single" w:sz="6" w:space="0" w:color="000000"/>
              <w:bottom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720" w:type="dxa"/>
            <w:tcBorders>
              <w:top w:val="single" w:sz="6" w:space="0" w:color="000000"/>
              <w:bottom w:val="single" w:sz="6" w:space="0" w:color="000000"/>
              <w:end w:val="single" w:sz="6" w:space="0" w:color="000000"/>
            </w:tcBorders>
            <w:shd w:fill="FFFFFF" w:val="clear"/>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197" w:hRule="atLeast"/>
        </w:trPr>
        <w:tc>
          <w:tcPr>
            <w:tcW w:w="3720" w:type="dxa"/>
            <w:tcBorders>
              <w:top w:val="single" w:sz="6" w:space="0" w:color="000000"/>
              <w:start w:val="single" w:sz="6" w:space="0" w:color="000000"/>
              <w:end w:val="single" w:sz="6" w:space="0" w:color="000000"/>
            </w:tcBorders>
            <w:shd w:fill="C0C0C0" w:val="clear"/>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1170"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704"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671" w:type="dxa"/>
            <w:tcBorders>
              <w:top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Gross Not </w:t>
            </w:r>
          </w:p>
        </w:tc>
        <w:tc>
          <w:tcPr>
            <w:tcW w:w="794" w:type="dxa"/>
            <w:tcBorders>
              <w:top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1241" w:type="dxa"/>
            <w:tcBorders>
              <w:top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Value </w:t>
            </w:r>
          </w:p>
        </w:tc>
        <w:tc>
          <w:tcPr>
            <w:tcW w:w="720" w:type="dxa"/>
            <w:tcBorders>
              <w:top w:val="single" w:sz="6" w:space="0" w:color="000000"/>
              <w:end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r>
      <w:tr>
        <w:trPr>
          <w:trHeight w:val="197" w:hRule="atLeast"/>
        </w:trPr>
        <w:tc>
          <w:tcPr>
            <w:tcW w:w="3720" w:type="dxa"/>
            <w:tcBorders>
              <w:start w:val="single" w:sz="6" w:space="0" w:color="000000"/>
              <w:bottom w:val="single" w:sz="6" w:space="0" w:color="000000"/>
            </w:tcBorders>
            <w:shd w:fill="C0C0C0" w:val="clear"/>
          </w:tcPr>
          <w:p>
            <w:pPr>
              <w:pStyle w:val="Normal"/>
              <w:jc w:val="center"/>
              <w:rPr>
                <w:rFonts w:ascii="Arial" w:hAnsi="Arial" w:cs="Arial"/>
                <w:b/>
                <w:color w:val="000000"/>
                <w:sz w:val="16"/>
                <w:lang w:eastAsia="en-US"/>
              </w:rPr>
            </w:pPr>
            <w:r>
              <w:rPr>
                <w:rFonts w:cs="Arial" w:ascii="Arial" w:hAnsi="Arial"/>
                <w:b/>
                <w:color w:val="000000"/>
                <w:sz w:val="16"/>
                <w:lang w:eastAsia="en-US"/>
              </w:rPr>
              <w:t>Customer/Product</w:t>
            </w:r>
          </w:p>
        </w:tc>
        <w:tc>
          <w:tcPr>
            <w:tcW w:w="1170" w:type="dxa"/>
            <w:tcBorders>
              <w:start w:val="single" w:sz="6" w:space="0" w:color="000000"/>
              <w:bottom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Trans</w:t>
            </w:r>
          </w:p>
        </w:tc>
        <w:tc>
          <w:tcPr>
            <w:tcW w:w="704" w:type="dxa"/>
            <w:tcBorders>
              <w:bottom w:val="single" w:sz="6"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%T</w:t>
            </w:r>
          </w:p>
        </w:tc>
        <w:tc>
          <w:tcPr>
            <w:tcW w:w="1671" w:type="dxa"/>
            <w:tcBorders>
              <w:bottom w:val="single" w:sz="6" w:space="0" w:color="000000"/>
            </w:tcBorders>
            <w:shd w:fill="FFFFFF" w:val="clear"/>
          </w:tcPr>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 xml:space="preserve">Volume </w:t>
            </w:r>
          </w:p>
        </w:tc>
        <w:tc>
          <w:tcPr>
            <w:tcW w:w="794" w:type="dxa"/>
            <w:tcBorders>
              <w:bottom w:val="single" w:sz="6" w:space="0" w:color="000000"/>
            </w:tcBorders>
            <w:shd w:fill="FFFFFF" w:val="clear"/>
          </w:tcPr>
          <w:p>
            <w:pPr>
              <w:pStyle w:val="Normal"/>
              <w:jc w:val="center"/>
              <w:rPr>
                <w:rFonts w:ascii="Arial" w:hAnsi="Arial" w:cs="Arial"/>
                <w:b/>
                <w:color w:val="000000"/>
                <w:sz w:val="16"/>
                <w:lang w:eastAsia="en-US"/>
              </w:rPr>
            </w:pPr>
            <w:r>
              <w:rPr>
                <w:rFonts w:cs="Arial" w:ascii="Arial" w:hAnsi="Arial"/>
                <w:b/>
                <w:color w:val="000000"/>
                <w:sz w:val="16"/>
                <w:lang w:eastAsia="en-US"/>
              </w:rPr>
              <w:t>%T</w:t>
            </w:r>
          </w:p>
        </w:tc>
        <w:tc>
          <w:tcPr>
            <w:tcW w:w="1241" w:type="dxa"/>
            <w:tcBorders>
              <w:bottom w:val="single" w:sz="6" w:space="0" w:color="000000"/>
            </w:tcBorders>
            <w:shd w:fill="FFFFFF"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720" w:type="dxa"/>
            <w:tcBorders>
              <w:bottom w:val="single" w:sz="6" w:space="0" w:color="000000"/>
              <w:end w:val="single" w:sz="6" w:space="0" w:color="000000"/>
            </w:tcBorders>
            <w:shd w:fill="FFFFFF" w:val="clear"/>
          </w:tcPr>
          <w:p>
            <w:pPr>
              <w:pStyle w:val="Normal"/>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%T</w:t>
            </w:r>
          </w:p>
        </w:tc>
      </w:tr>
    </w:tbl>
    <w:p>
      <w:pPr>
        <w:pStyle w:val="Normal"/>
        <w:rPr/>
      </w:pPr>
      <w:r>
        <w:rPr/>
      </w:r>
    </w:p>
    <w:tbl>
      <w:tblPr>
        <w:tblW w:w="9671" w:type="dxa"/>
        <w:jc w:val="start"/>
        <w:tblInd w:w="0" w:type="dxa"/>
        <w:tblLayout w:type="fixed"/>
        <w:tblCellMar>
          <w:top w:w="0" w:type="dxa"/>
          <w:start w:w="30" w:type="dxa"/>
          <w:bottom w:w="0" w:type="dxa"/>
          <w:end w:w="30" w:type="dxa"/>
        </w:tblCellMar>
      </w:tblPr>
      <w:tblGrid>
        <w:gridCol w:w="3720"/>
        <w:gridCol w:w="1006"/>
        <w:gridCol w:w="473"/>
        <w:gridCol w:w="1851"/>
        <w:gridCol w:w="810"/>
        <w:gridCol w:w="1350"/>
        <w:gridCol w:w="461"/>
      </w:tblGrid>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Swiss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Entrade B.V.</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13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8,720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334,528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Electrabel 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35.5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17,840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763,751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71.5</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38.9</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67,440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54.2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2,039,399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50.1</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Other Continental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201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2,943,445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73.1</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37,221,095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Interkraft Trading ASA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97.7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977,096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89.9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11,761,135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90.6</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Interkraft</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81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1,571,810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21,787,805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Nordic Power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Entergy Trading and Marketing Limite</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381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63.6</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13,321,586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51.2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432,021,749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50.2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TXU Europe Energy Trading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152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43.7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5,286,072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40.3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158,541,726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36.3</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AEP Energy Services Ltd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61.6</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5,137,640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178,258,690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44.7</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UK Power</w:t>
            </w:r>
            <w:r>
              <w:rPr>
                <w:rStyle w:val="FootnoteCharacters"/>
                <w:rStyle w:val="FootnoteReference"/>
                <w:rFonts w:cs="Arial" w:ascii="Arial" w:hAnsi="Arial"/>
                <w:b/>
                <w:color w:val="000000"/>
                <w:sz w:val="14"/>
                <w:lang w:eastAsia="en-US"/>
              </w:rPr>
              <w:footnoteReference w:id="11"/>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Sempra Energy Trading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2,189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69,762,000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78.7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1,949,097,024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79.7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Hess Energy Trading Company LLC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1,186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81.5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58,375,000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1,553,433,713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63.4</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J. Aron &amp; Company</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236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29.2</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24,239,750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563,698,431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22.0</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Crude &amp; Products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Metals as Agent and on behalf o</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180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81.8</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2,775,000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76.8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92,066,438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77.7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Global Liquids,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134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1,968,000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65,923,000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59.6</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Ferrell International Limited</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102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74.5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1,680,000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61,274,000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67.0</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LPG</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Shell Chemical Risk Management Compa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3,314,446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68.8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8,573,927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95.9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ConAgra Energy Services,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6,000,000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2,460,000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Diamond-Koch,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1,500,000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360,000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85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6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Plastics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Trammochem, a Division of Transammon</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67.4</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1,585,000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88.8</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19,311,618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66.2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Trammochem AG</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57.8</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208,000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24,086,608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56.2</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Landmark Chemicals S.A.</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31.4</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88,000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30.6</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4,322,000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21.6</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Petrochemicals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Energy Marketing Corporation</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67.9</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2,554,250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67.7</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18,500,351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62.5</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Merchants LLC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48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41.7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1,463,500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30.4</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18,572,035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28.9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Dynegy Marketing and Trade</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45.8</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1,668,000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52.2</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8,401,819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49.0</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Coal</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American Electric Power Service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36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24.2</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97,500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13,051,500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21.7</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Duke Energy Merchants LLC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23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30.7</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60,000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25.3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7,989,875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27.8</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57.1</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32,500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55.5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4,617,350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57.7</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Emissions</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5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62.5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10,050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30.9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9,150,750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81.8</w:t>
            </w:r>
          </w:p>
        </w:tc>
      </w:tr>
      <w:tr>
        <w:trPr>
          <w:trHeight w:val="197"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85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6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Paper &amp; Pulp</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Aquila Risk Management Corp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129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86.6</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187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90.3</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80,902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92.9</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Koch Energy Trading, Inc.</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112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91.8</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130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92.9</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43,356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93.3</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74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92.5</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74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92.5</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25,423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93.2</w:t>
            </w:r>
          </w:p>
        </w:tc>
      </w:tr>
      <w:tr>
        <w:trPr>
          <w:trHeight w:val="197" w:hRule="atLeast"/>
        </w:trPr>
        <w:tc>
          <w:tcPr>
            <w:tcW w:w="3720"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Weather</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Societe Generale</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21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21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6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rPr>
                <w:rFonts w:ascii="Arial" w:hAnsi="Arial" w:cs="Arial"/>
                <w:color w:val="000000"/>
                <w:sz w:val="14"/>
                <w:lang w:eastAsia="en-US"/>
              </w:rPr>
            </w:pPr>
            <w:r>
              <w:rPr>
                <w:rFonts w:cs="Arial" w:ascii="Arial" w:hAnsi="Arial"/>
                <w:color w:val="000000"/>
                <w:sz w:val="14"/>
                <w:lang w:eastAsia="en-US"/>
              </w:rPr>
              <w:t>Southern Company Energy Marketing LP</w:t>
            </w:r>
          </w:p>
        </w:tc>
        <w:tc>
          <w:tcPr>
            <w:tcW w:w="1006"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 xml:space="preserve">18 </w:t>
            </w:r>
          </w:p>
        </w:tc>
        <w:tc>
          <w:tcPr>
            <w:tcW w:w="473"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851"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18 </w:t>
            </w:r>
          </w:p>
        </w:tc>
        <w:tc>
          <w:tcPr>
            <w:tcW w:w="810"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75.0</w:t>
            </w:r>
          </w:p>
        </w:tc>
        <w:tc>
          <w:tcPr>
            <w:tcW w:w="1350" w:type="dxa"/>
            <w:tcBorders/>
            <w:shd w:fill="FFFFFF" w:val="clear"/>
          </w:tcPr>
          <w:p>
            <w:pPr>
              <w:pStyle w:val="Normal"/>
              <w:jc w:val="end"/>
              <w:rPr>
                <w:rFonts w:ascii="Arial" w:hAnsi="Arial" w:cs="Arial"/>
                <w:color w:val="000000"/>
                <w:sz w:val="14"/>
                <w:lang w:eastAsia="en-US"/>
              </w:rPr>
            </w:pPr>
            <w:r>
              <w:rPr>
                <w:rFonts w:eastAsia="Arial" w:cs="Arial" w:ascii="Arial" w:hAnsi="Arial"/>
                <w:color w:val="000000"/>
                <w:sz w:val="14"/>
                <w:lang w:eastAsia="en-US"/>
              </w:rPr>
              <w:t xml:space="preserve">                          </w:t>
            </w:r>
            <w:r>
              <w:rPr>
                <w:rFonts w:cs="Arial" w:ascii="Arial" w:hAnsi="Arial"/>
                <w:color w:val="000000"/>
                <w:sz w:val="14"/>
                <w:lang w:eastAsia="en-US"/>
              </w:rPr>
              <w:t xml:space="preserve">719 </w:t>
            </w:r>
          </w:p>
        </w:tc>
        <w:tc>
          <w:tcPr>
            <w:tcW w:w="461" w:type="dxa"/>
            <w:tcBorders/>
            <w:shd w:fill="FFFFFF" w:val="clear"/>
          </w:tcPr>
          <w:p>
            <w:pPr>
              <w:pStyle w:val="Normal"/>
              <w:jc w:val="end"/>
              <w:rPr>
                <w:rFonts w:ascii="Arial" w:hAnsi="Arial" w:cs="Arial"/>
                <w:color w:val="000000"/>
                <w:sz w:val="14"/>
                <w:lang w:eastAsia="en-US"/>
              </w:rPr>
            </w:pPr>
            <w:r>
              <w:rPr>
                <w:rFonts w:cs="Arial" w:ascii="Arial" w:hAnsi="Arial"/>
                <w:color w:val="000000"/>
                <w:sz w:val="14"/>
                <w:lang w:eastAsia="en-US"/>
              </w:rPr>
              <w:t>100.0</w:t>
            </w:r>
          </w:p>
        </w:tc>
      </w:tr>
      <w:tr>
        <w:trPr>
          <w:trHeight w:val="197" w:hRule="atLeast"/>
        </w:trPr>
        <w:tc>
          <w:tcPr>
            <w:tcW w:w="3720" w:type="dxa"/>
            <w:tcBorders/>
            <w:shd w:fill="FFFFFF" w:val="clear"/>
          </w:tcPr>
          <w:p>
            <w:pPr>
              <w:pStyle w:val="Normal"/>
              <w:snapToGrid w:val="false"/>
              <w:rPr>
                <w:rFonts w:ascii="Arial" w:hAnsi="Arial" w:cs="Arial"/>
                <w:color w:val="000000"/>
                <w:sz w:val="14"/>
                <w:lang w:eastAsia="en-US"/>
              </w:rPr>
            </w:pPr>
            <w:r>
              <w:rPr>
                <w:rFonts w:cs="Arial" w:ascii="Arial" w:hAnsi="Arial"/>
                <w:color w:val="000000"/>
                <w:sz w:val="14"/>
                <w:lang w:eastAsia="en-US"/>
              </w:rPr>
            </w:r>
          </w:p>
        </w:tc>
        <w:tc>
          <w:tcPr>
            <w:tcW w:w="1006"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73"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85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81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1350"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c>
          <w:tcPr>
            <w:tcW w:w="461" w:type="dxa"/>
            <w:tcBorders/>
            <w:shd w:fill="FFFFFF" w:val="clear"/>
          </w:tcPr>
          <w:p>
            <w:pPr>
              <w:pStyle w:val="Normal"/>
              <w:jc w:val="end"/>
              <w:rPr>
                <w:rFonts w:ascii="Arial" w:hAnsi="Arial" w:eastAsia="Arial" w:cs="Arial"/>
                <w:color w:val="000000"/>
                <w:sz w:val="14"/>
                <w:lang w:eastAsia="en-US"/>
              </w:rPr>
            </w:pPr>
            <w:r>
              <w:rPr>
                <w:rFonts w:eastAsia="Arial" w:cs="Arial" w:ascii="Arial" w:hAnsi="Arial"/>
                <w:color w:val="000000"/>
                <w:sz w:val="14"/>
                <w:lang w:eastAsia="en-US"/>
              </w:rPr>
              <w:t xml:space="preserve"> </w:t>
            </w:r>
          </w:p>
        </w:tc>
      </w:tr>
      <w:tr>
        <w:trPr>
          <w:trHeight w:val="197" w:hRule="atLeast"/>
        </w:trPr>
        <w:tc>
          <w:tcPr>
            <w:tcW w:w="3720" w:type="dxa"/>
            <w:tcBorders/>
            <w:shd w:fill="FFFFFF" w:val="clear"/>
          </w:tcPr>
          <w:p>
            <w:pPr>
              <w:pStyle w:val="Normal"/>
              <w:snapToGrid w:val="false"/>
              <w:jc w:val="center"/>
              <w:rPr>
                <w:rFonts w:ascii="Arial" w:hAnsi="Arial" w:cs="Arial"/>
                <w:b/>
                <w:color w:val="000000"/>
                <w:sz w:val="14"/>
                <w:lang w:eastAsia="en-US"/>
              </w:rPr>
            </w:pPr>
            <w:r>
              <w:rPr>
                <w:rFonts w:cs="Arial" w:ascii="Arial" w:hAnsi="Arial"/>
                <w:b/>
                <w:color w:val="000000"/>
                <w:sz w:val="14"/>
                <w:lang w:eastAsia="en-US"/>
              </w:rPr>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r>
        <w:trPr>
          <w:trHeight w:val="197" w:hRule="atLeast"/>
        </w:trPr>
        <w:tc>
          <w:tcPr>
            <w:tcW w:w="3720" w:type="dxa"/>
            <w:tcBorders/>
            <w:shd w:fill="FFFFFF" w:val="clear"/>
          </w:tcPr>
          <w:p>
            <w:pPr>
              <w:pStyle w:val="Normal"/>
              <w:rPr>
                <w:rFonts w:ascii="Arial" w:hAnsi="Arial" w:cs="Arial"/>
                <w:b/>
                <w:color w:val="000000"/>
                <w:sz w:val="14"/>
                <w:lang w:eastAsia="en-US"/>
              </w:rPr>
            </w:pPr>
            <w:r>
              <w:rPr>
                <w:rFonts w:cs="Arial" w:ascii="Arial" w:hAnsi="Arial"/>
                <w:b/>
                <w:color w:val="000000"/>
                <w:sz w:val="14"/>
                <w:lang w:eastAsia="en-US"/>
              </w:rPr>
              <w:t>"%T" is the percentage of EOL to customer total trading activity</w:t>
            </w:r>
          </w:p>
        </w:tc>
        <w:tc>
          <w:tcPr>
            <w:tcW w:w="1006" w:type="dxa"/>
            <w:tcBorders/>
            <w:shd w:fill="FFFFFF" w:val="clear"/>
          </w:tcPr>
          <w:p>
            <w:pPr>
              <w:pStyle w:val="Normal"/>
              <w:snapToGrid w:val="false"/>
              <w:jc w:val="end"/>
              <w:rPr>
                <w:rFonts w:ascii="Arial" w:hAnsi="Arial" w:cs="Arial"/>
                <w:b/>
                <w:color w:val="000000"/>
                <w:sz w:val="14"/>
                <w:lang w:eastAsia="en-US"/>
              </w:rPr>
            </w:pPr>
            <w:r>
              <w:rPr>
                <w:rFonts w:cs="Arial" w:ascii="Arial" w:hAnsi="Arial"/>
                <w:b/>
                <w:color w:val="000000"/>
                <w:sz w:val="14"/>
                <w:lang w:eastAsia="en-US"/>
              </w:rPr>
            </w:r>
          </w:p>
        </w:tc>
        <w:tc>
          <w:tcPr>
            <w:tcW w:w="473"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85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81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1350"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c>
          <w:tcPr>
            <w:tcW w:w="461" w:type="dxa"/>
            <w:tcBorders/>
            <w:shd w:fill="FFFFFF" w:val="clear"/>
          </w:tcPr>
          <w:p>
            <w:pPr>
              <w:pStyle w:val="Normal"/>
              <w:snapToGrid w:val="false"/>
              <w:jc w:val="end"/>
              <w:rPr>
                <w:rFonts w:ascii="Arial" w:hAnsi="Arial" w:cs="Arial"/>
                <w:color w:val="000000"/>
                <w:sz w:val="14"/>
                <w:lang w:eastAsia="en-US"/>
              </w:rPr>
            </w:pPr>
            <w:r>
              <w:rPr>
                <w:rFonts w:cs="Arial" w:ascii="Arial" w:hAnsi="Arial"/>
                <w:color w:val="000000"/>
                <w:sz w:val="14"/>
                <w:lang w:eastAsia="en-US"/>
              </w:rPr>
            </w:r>
          </w:p>
        </w:tc>
      </w:tr>
    </w:tbl>
    <w:p>
      <w:pPr>
        <w:pStyle w:val="Normal"/>
        <w:rPr/>
      </w:pPr>
      <w:r>
        <w:rPr/>
      </w:r>
    </w:p>
    <w:sectPr>
      <w:footerReference w:type="default" r:id="rId6"/>
      <w:footerReference w:type="first" r:id="rId7"/>
      <w:footnotePr>
        <w:numFmt w:val="decimal"/>
      </w:footnotePr>
      <w:type w:val="nextPage"/>
      <w:pgSz w:w="11906" w:h="16838"/>
      <w:pgMar w:left="1627" w:right="1287" w:gutter="0" w:header="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39.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sz w:val="16"/>
        </w:rPr>
        <w:t>Altrade offers both financial and physical products for  North American Natural Gas.</w:t>
      </w:r>
    </w:p>
  </w:footnote>
  <w:footnote w:id="3">
    <w:p>
      <w:pPr>
        <w:pStyle w:val="FootnoteText"/>
        <w:rPr/>
      </w:pPr>
      <w:r>
        <w:rPr>
          <w:rStyle w:val="FootnoteCharacters"/>
        </w:rPr>
        <w:footnoteRef/>
      </w:r>
      <w:r>
        <w:rPr/>
        <w:t xml:space="preserve"> </w:t>
      </w:r>
      <w:r>
        <w:rPr>
          <w:rFonts w:cs="Arial" w:ascii="Arial" w:hAnsi="Arial"/>
          <w:sz w:val="16"/>
        </w:rPr>
        <w:t xml:space="preserve">EnronOnline offers both financial and physical products for North America Natural Gas, </w:t>
      </w:r>
    </w:p>
    <w:p>
      <w:pPr>
        <w:pStyle w:val="FootnoteText"/>
        <w:rPr>
          <w:rFonts w:ascii="Arial" w:hAnsi="Arial" w:cs="Arial"/>
          <w:sz w:val="16"/>
        </w:rPr>
      </w:pPr>
      <w:r>
        <w:rPr>
          <w:rFonts w:eastAsia="Arial" w:cs="Arial" w:ascii="Arial" w:hAnsi="Arial"/>
          <w:sz w:val="16"/>
        </w:rPr>
        <w:t xml:space="preserve">   </w:t>
      </w:r>
      <w:r>
        <w:rPr>
          <w:rFonts w:cs="Arial" w:ascii="Arial" w:hAnsi="Arial"/>
          <w:sz w:val="16"/>
        </w:rPr>
        <w:t>however NGX only offers physical products.</w:t>
      </w:r>
    </w:p>
  </w:footnote>
  <w:footnote w:id="4">
    <w:p>
      <w:pPr>
        <w:pStyle w:val="FootnoteText"/>
        <w:rPr/>
      </w:pPr>
      <w:r>
        <w:rPr>
          <w:rStyle w:val="FootnoteCharacters"/>
        </w:rPr>
        <w:footnoteRef/>
      </w:r>
      <w:r>
        <w:rPr/>
        <w:t xml:space="preserve"> </w:t>
      </w:r>
      <w:r>
        <w:rPr>
          <w:rFonts w:cs="Arial" w:ascii="Arial" w:hAnsi="Arial"/>
          <w:sz w:val="16"/>
        </w:rPr>
        <w:t>Power Altrade does not give total deal count, but provides total volume traded on the system.</w:t>
      </w:r>
    </w:p>
  </w:footnote>
  <w:footnote w:id="5">
    <w:p>
      <w:pPr>
        <w:pStyle w:val="FootnoteText"/>
        <w:rPr/>
      </w:pPr>
      <w:r>
        <w:rPr>
          <w:rStyle w:val="FootnoteCharacters"/>
        </w:rPr>
        <w:footnoteRef/>
      </w:r>
      <w:r>
        <w:rPr/>
        <w:t xml:space="preserve"> </w:t>
      </w:r>
      <w:r>
        <w:rPr>
          <w:rFonts w:cs="Arial" w:ascii="Arial" w:hAnsi="Arial"/>
          <w:sz w:val="16"/>
        </w:rPr>
        <w:t>IPE does not give total deal count, but provides total volume traded on the system.</w:t>
      </w:r>
    </w:p>
  </w:footnote>
  <w:footnote w:id="6">
    <w:p>
      <w:pPr>
        <w:pStyle w:val="FootnoteText"/>
        <w:rPr/>
      </w:pPr>
      <w:r>
        <w:rPr>
          <w:rStyle w:val="FootnoteCharacters"/>
        </w:rPr>
        <w:footnoteRef/>
      </w:r>
      <w:r>
        <w:rPr/>
        <w:t xml:space="preserve"> </w:t>
      </w:r>
      <w:r>
        <w:rPr>
          <w:rFonts w:cs="Arial" w:ascii="Arial" w:hAnsi="Arial"/>
          <w:sz w:val="16"/>
        </w:rPr>
        <w:t>Tradeweather.com provides both transaction and contract information.</w:t>
      </w:r>
    </w:p>
  </w:footnote>
  <w:footnote w:id="7">
    <w:p>
      <w:pPr>
        <w:pStyle w:val="FootnoteText"/>
        <w:rPr/>
      </w:pPr>
      <w:r>
        <w:rPr>
          <w:rStyle w:val="FootnoteCharacters"/>
        </w:rPr>
        <w:footnoteRef/>
      </w:r>
      <w:r>
        <w:rPr/>
        <w:t xml:space="preserve"> </w:t>
      </w:r>
      <w:r>
        <w:rPr>
          <w:rFonts w:cs="Arial" w:ascii="Arial" w:hAnsi="Arial"/>
          <w:sz w:val="16"/>
        </w:rPr>
        <w:t xml:space="preserve">Chemmatch provides both transaction and volume information.  Chematch was not available due to website issues on June </w:t>
      </w:r>
    </w:p>
    <w:p>
      <w:pPr>
        <w:pStyle w:val="FootnoteText"/>
        <w:rPr/>
      </w:pPr>
      <w:r>
        <w:rPr>
          <w:rFonts w:eastAsia="Arial" w:cs="Arial" w:ascii="Arial" w:hAnsi="Arial"/>
          <w:sz w:val="16"/>
        </w:rPr>
        <w:t xml:space="preserve">   </w:t>
      </w:r>
      <w:r>
        <w:rPr>
          <w:rFonts w:cs="Arial" w:ascii="Arial" w:hAnsi="Arial"/>
          <w:sz w:val="16"/>
        </w:rPr>
        <w:t>26</w:t>
      </w:r>
      <w:r>
        <w:rPr>
          <w:rFonts w:cs="Arial" w:ascii="Arial" w:hAnsi="Arial"/>
          <w:sz w:val="16"/>
          <w:vertAlign w:val="superscript"/>
        </w:rPr>
        <w:t>th</w:t>
      </w:r>
      <w:r>
        <w:rPr>
          <w:rFonts w:cs="Arial" w:ascii="Arial" w:hAnsi="Arial"/>
          <w:sz w:val="16"/>
        </w:rPr>
        <w:t>.</w:t>
      </w:r>
    </w:p>
  </w:footnote>
  <w:footnote w:id="8">
    <w:p>
      <w:pPr>
        <w:pStyle w:val="FootnoteText"/>
        <w:rPr/>
      </w:pPr>
      <w:r>
        <w:rPr>
          <w:rStyle w:val="FootnoteCharacters"/>
        </w:rPr>
        <w:t>4</w:t>
      </w:r>
      <w:r>
        <w:rPr/>
      </w:r>
    </w:p>
  </w:footnote>
  <w:footnote w:id="9">
    <w:p>
      <w:pPr>
        <w:pStyle w:val="FootnoteText"/>
        <w:rPr/>
      </w:pPr>
      <w:r>
        <w:rPr>
          <w:rStyle w:val="FootnoteCharacters"/>
        </w:rPr>
        <w:footnoteRef/>
      </w:r>
      <w:r>
        <w:rPr/>
        <w:t xml:space="preserve"> </w:t>
      </w:r>
      <w:r>
        <w:rPr>
          <w:rFonts w:cs="Arial" w:ascii="Arial" w:hAnsi="Arial"/>
          <w:sz w:val="16"/>
        </w:rPr>
        <w:t xml:space="preserve">EnronOnline separates Crude and Liquides from LPG’s, however Altrade reports Crude, Liquides, and LPG’s   </w:t>
      </w:r>
    </w:p>
    <w:p>
      <w:pPr>
        <w:pStyle w:val="FootnoteText"/>
        <w:rPr>
          <w:rFonts w:ascii="Arial" w:hAnsi="Arial" w:cs="Arial"/>
          <w:sz w:val="16"/>
        </w:rPr>
      </w:pPr>
      <w:r>
        <w:rPr>
          <w:rFonts w:eastAsia="Arial" w:cs="Arial" w:ascii="Arial" w:hAnsi="Arial"/>
          <w:sz w:val="16"/>
        </w:rPr>
        <w:t xml:space="preserve">   </w:t>
      </w:r>
      <w:r>
        <w:rPr>
          <w:rFonts w:cs="Arial" w:ascii="Arial" w:hAnsi="Arial"/>
          <w:sz w:val="16"/>
        </w:rPr>
        <w:t>in their  transaction and volume information.</w:t>
      </w:r>
    </w:p>
    <w:p>
      <w:pPr>
        <w:pStyle w:val="FootnoteText"/>
        <w:rPr>
          <w:rFonts w:ascii="Arial" w:hAnsi="Arial" w:cs="Arial"/>
          <w:sz w:val="16"/>
        </w:rPr>
      </w:pPr>
      <w:r>
        <w:rPr>
          <w:rFonts w:cs="Arial" w:ascii="Arial" w:hAnsi="Arial"/>
          <w:sz w:val="16"/>
        </w:rPr>
      </w:r>
    </w:p>
  </w:footnote>
  <w:footnote w:id="10">
    <w:p>
      <w:pPr>
        <w:pStyle w:val="Normal"/>
        <w:rPr/>
      </w:pPr>
      <w:r>
        <w:rPr>
          <w:rStyle w:val="FootnoteCharacters"/>
        </w:rPr>
        <w:footnoteRef/>
      </w:r>
      <w:r>
        <w:rPr>
          <w:rFonts w:cs="Arial" w:ascii="Arial" w:hAnsi="Arial"/>
          <w:sz w:val="14"/>
        </w:rPr>
        <w:t xml:space="preserve"> </w:t>
      </w:r>
      <w:r>
        <w:rPr>
          <w:rFonts w:cs="Arial" w:ascii="Arial" w:hAnsi="Arial"/>
          <w:sz w:val="14"/>
        </w:rPr>
        <w:t>The above customer activity does not include deal count, volume or value for UK Power due to severe system issues which prevented the risk group from sending the trading information for the day.</w:t>
      </w:r>
    </w:p>
    <w:p>
      <w:pPr>
        <w:pStyle w:val="FootnoteText"/>
        <w:rPr>
          <w:rFonts w:ascii="Arial" w:hAnsi="Arial" w:cs="Arial"/>
          <w:sz w:val="14"/>
        </w:rPr>
      </w:pPr>
      <w:r>
        <w:rPr>
          <w:rFonts w:cs="Arial" w:ascii="Arial" w:hAnsi="Arial"/>
          <w:sz w:val="14"/>
        </w:rPr>
      </w:r>
    </w:p>
  </w:footnote>
  <w:footnote w:id="11">
    <w:p>
      <w:pPr>
        <w:pStyle w:val="Normal"/>
        <w:rPr/>
      </w:pPr>
      <w:r>
        <w:rPr>
          <w:rStyle w:val="FootnoteCharacters"/>
        </w:rPr>
        <w:footnoteRef/>
      </w:r>
      <w:r>
        <w:rPr/>
        <w:t xml:space="preserve"> </w:t>
      </w:r>
      <w:r>
        <w:rPr>
          <w:rFonts w:cs="Arial" w:ascii="Arial" w:hAnsi="Arial"/>
          <w:sz w:val="14"/>
        </w:rPr>
        <w:t>The above customer activity does not include deal count, volume or value for UK Power due to severe system issues which prevented the risk group from sending the trading information for the day.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tabs>
        <w:tab w:val="clear" w:pos="720"/>
        <w:tab w:val="decimal" w:pos="5103" w:leader="none"/>
      </w:tabs>
      <w:outlineLvl w:val="2"/>
    </w:pPr>
    <w:rPr>
      <w:rFonts w:ascii="Arial" w:hAnsi="Arial" w:cs="Arial"/>
      <w:i/>
      <w:sz w:val="22"/>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rPr>
  </w:style>
  <w:style w:type="paragraph" w:styleId="Heading5">
    <w:name w:val="heading 5"/>
    <w:basedOn w:val="Normal"/>
    <w:next w:val="Normal"/>
    <w:qFormat/>
    <w:pPr>
      <w:keepNext w:val="true"/>
      <w:numPr>
        <w:ilvl w:val="4"/>
        <w:numId w:val="1"/>
      </w:numPr>
      <w:tabs>
        <w:tab w:val="clear" w:pos="720"/>
        <w:tab w:val="decimal" w:pos="6804" w:leader="none"/>
        <w:tab w:val="decimal" w:pos="9356" w:leader="none"/>
      </w:tabs>
      <w:outlineLvl w:val="4"/>
    </w:pPr>
    <w:rPr>
      <w:rFonts w:ascii="Arial" w:hAnsi="Arial" w:cs="Arial"/>
      <w:b/>
      <w:color w:val="FF0000"/>
      <w:sz w:val="22"/>
    </w:rPr>
  </w:style>
  <w:style w:type="paragraph" w:styleId="Heading6">
    <w:name w:val="heading 6"/>
    <w:basedOn w:val="Normal"/>
    <w:next w:val="Normal"/>
    <w:qFormat/>
    <w:pPr>
      <w:keepNext w:val="true"/>
      <w:numPr>
        <w:ilvl w:val="5"/>
        <w:numId w:val="1"/>
      </w:numPr>
      <w:jc w:val="center"/>
      <w:outlineLvl w:val="5"/>
    </w:pPr>
    <w:rPr>
      <w:rFonts w:ascii="Arial" w:hAnsi="Arial" w:cs="Arial"/>
      <w:b/>
      <w:color w:val="FFFFFF"/>
      <w:sz w:val="22"/>
      <w:lang w:eastAsia="en-US"/>
    </w:rPr>
  </w:style>
  <w:style w:type="paragraph" w:styleId="Heading7">
    <w:name w:val="heading 7"/>
    <w:basedOn w:val="Normal"/>
    <w:next w:val="Normal"/>
    <w:qFormat/>
    <w:pPr>
      <w:keepNext w:val="true"/>
      <w:numPr>
        <w:ilvl w:val="6"/>
        <w:numId w:val="1"/>
      </w:numPr>
      <w:ind w:firstLine="720" w:start="0" w:end="0"/>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outlineLvl w:val="8"/>
    </w:pPr>
    <w:rPr>
      <w:rFonts w:ascii="Arial" w:hAnsi="Arial" w:cs="Arial"/>
      <w:b/>
      <w:color w:val="000000"/>
      <w:sz w:val="16"/>
      <w:lang w:eastAsia="en-U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630" w:leader="dot"/>
      </w:tabs>
      <w:spacing w:before="120" w:after="120"/>
      <w:ind w:hanging="360" w:start="360" w:end="0"/>
    </w:pPr>
    <w:rPr>
      <w:rFonts w:ascii="Arial" w:hAnsi="Arial" w:cs="Arial"/>
      <w:b/>
      <w:caps/>
      <w:sz w:val="24"/>
      <w:lang w:val="en-CA"/>
    </w:rPr>
  </w:style>
  <w:style w:type="paragraph" w:styleId="TOC2">
    <w:name w:val="toc 2"/>
    <w:basedOn w:val="Normal"/>
    <w:next w:val="Normal"/>
    <w:pPr>
      <w:tabs>
        <w:tab w:val="clear" w:pos="720"/>
        <w:tab w:val="left" w:pos="360" w:leader="none"/>
        <w:tab w:val="right" w:pos="7920" w:leader="dot"/>
      </w:tabs>
      <w:ind w:firstLine="380" w:start="-180" w:end="-270"/>
    </w:pPr>
    <w:rPr>
      <w:smallCaps/>
      <w:lang w:val="en-CA"/>
    </w:rPr>
  </w:style>
  <w:style w:type="paragraph" w:styleId="BodyTextIndent">
    <w:name w:val="Body Text Indent"/>
    <w:basedOn w:val="Normal"/>
    <w:pPr>
      <w:ind w:hanging="0" w:start="720" w:end="0"/>
    </w:pPr>
    <w:rPr>
      <w:rFonts w:ascii="Arial" w:hAnsi="Arial" w:cs="Arial"/>
      <w:b/>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720" w:end="0"/>
    </w:pPr>
    <w:rPr>
      <w:rFonts w:ascii="Arial" w:hAnsi="Arial" w:cs="Arial"/>
      <w:sz w:val="22"/>
    </w:rPr>
  </w:style>
  <w:style w:type="paragraph" w:styleId="BodyText2">
    <w:name w:val="Body Text 2"/>
    <w:basedOn w:val="Normal"/>
    <w:qFormat/>
    <w:pPr>
      <w:jc w:val="both"/>
    </w:pPr>
    <w:rPr>
      <w:rFonts w:ascii="Arial" w:hAnsi="Arial" w:cs="Arial"/>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BodyText3">
    <w:name w:val="Body Text 3"/>
    <w:basedOn w:val="Normal"/>
    <w:qFormat/>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2000-06-27T10:59:00Z</dcterms:created>
  <dc:creator>rshults</dc:creator>
  <dc:description/>
  <dc:language>en-CA</dc:language>
  <cp:lastModifiedBy>tsweitz</cp:lastModifiedBy>
  <cp:lastPrinted>2000-06-27T15:07:00Z</cp:lastPrinted>
  <dcterms:modified xsi:type="dcterms:W3CDTF">2000-06-27T18:37:00Z</dcterms:modified>
  <cp:revision>12</cp:revision>
  <dc:subject/>
  <dc:title/>
</cp:coreProperties>
</file>