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956354243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7,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2,449</w:t>
        <w:tab/>
        <w:t>137,369</w:t>
        <w:tab/>
        <w:t>142,370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1,336,396,185</w:t>
        <w:tab/>
        <w:t>63,625,253,406</w:t>
        <w:tab/>
        <w:t>64,837,925,397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3,545,290,839</w:t>
        <w:tab/>
        <w:t>3,641,042,331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0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357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821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2,107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829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37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522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2,449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Footnote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center" w:pos="8460" w:leader="none"/>
        </w:tabs>
        <w:rPr>
          <w:sz w:val="16"/>
        </w:rPr>
      </w:pPr>
      <w:r>
        <w:rPr>
          <w:sz w:val="16"/>
        </w:rPr>
      </w:r>
    </w:p>
    <w:tbl>
      <w:tblPr>
        <w:tblW w:w="97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800"/>
        <w:gridCol w:w="1068"/>
        <w:gridCol w:w="1214"/>
        <w:gridCol w:w="868"/>
        <w:gridCol w:w="1350"/>
        <w:gridCol w:w="1440"/>
      </w:tblGrid>
      <w:tr>
        <w:trPr>
          <w:trHeight w:val="238" w:hRule="atLeast"/>
        </w:trPr>
        <w:tc>
          <w:tcPr>
            <w:tcW w:w="20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Market/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 xml:space="preserve">Competitor </w:t>
            </w:r>
          </w:p>
        </w:tc>
        <w:tc>
          <w:tcPr>
            <w:tcW w:w="1068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Number of</w:t>
            </w:r>
          </w:p>
        </w:tc>
        <w:tc>
          <w:tcPr>
            <w:tcW w:w="121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868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20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Commodities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Name</w:t>
            </w:r>
          </w:p>
        </w:tc>
        <w:tc>
          <w:tcPr>
            <w:tcW w:w="1068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21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  <w:tc>
          <w:tcPr>
            <w:tcW w:w="868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Units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44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368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1,919 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24,195,831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434,848,134 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3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197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270 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4,603,400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20,637,722 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Power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4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98 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286,400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1,234,000 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5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173,000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1,660,000 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WEATHER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6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Contracts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Petrochemicals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7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56,000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371,591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9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 </w:t>
            </w:r>
          </w:p>
        </w:tc>
        <w:tc>
          <w:tcPr>
            <w:tcW w:w="8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1,078,000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1,600,000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1,023 transaction attempts that did not succeed which represents 29% of all transaction attempts.  Of these, 966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966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32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25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895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1,031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4,253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189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36</w:t>
        <w:tab/>
        <w:t>3</w:t>
        <w:tab/>
        <w:t>33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6</w:t>
        <w:tab/>
        <w:t>2</w:t>
        <w:tab/>
        <w:t>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40</w:t>
        <w:tab/>
        <w:t>4</w:t>
        <w:tab/>
        <w:t>36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6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483"/>
        <w:gridCol w:w="504"/>
        <w:gridCol w:w="138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06/07/00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23,000,000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61.1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92,065,086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66,085,000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274,008,163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12,723,473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60.6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52,370,588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35,636,940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145,854,985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31,692,366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125,133,946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723,184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2,629,984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2,266,206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99.8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8,391,444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8,189,699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60.7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31,338,084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Trading, Cana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96.2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617,343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2,219,005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Progas Enterprises Limite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161,129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582,054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15,296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78.6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1,357,500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4,162,251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88.6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234,141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789,347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78,737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46.2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158,800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66.4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5,840,700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52.9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34.2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5,794,000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17,169,780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9.1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267,200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10.8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2,218,020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31.1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61,705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2,692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32.7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1,119,634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1,062,425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MVV Energie AG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58.9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20,120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06/07//00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3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483"/>
        <w:gridCol w:w="504"/>
        <w:gridCol w:w="1476"/>
        <w:gridCol w:w="63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87,026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103,489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82,077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53,520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648,633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Produksjon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10,920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95,242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Ostenfjeldske Kraftomsetn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76,827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196,560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5,988,272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Magnox Electric plc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152,880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4,700,869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2,236,419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1,000,000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29,321,000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72.2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14,174,118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1,457,000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Vitol S.A.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2,313,000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1,188,000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Dow Chemical Company, The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352,800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Tauber Petrochemical Co.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1,152,901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1,937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22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06"/>
        <w:gridCol w:w="473"/>
        <w:gridCol w:w="1401"/>
        <w:gridCol w:w="473"/>
        <w:gridCol w:w="1507"/>
        <w:gridCol w:w="461"/>
      </w:tblGrid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7,342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1,584,295,866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4,858,952,080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2,936,766,186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9,232,091,759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621,237,859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2,119,127,511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2,125,010,549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7,085,408,827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120,605,571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366,779,549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1,038,615,754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2,998,636,687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127,216,240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376,527,617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275,825,335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799,771,904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233,611,638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642,889,225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15,335,369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45,189,227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12,480,000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31,223,446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9,572,500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22,754,320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8,652,500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17,504,785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957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128,290,000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296,394,810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67,585,000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149,364,569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86,317,500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207,554,345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61,055,000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134,807,109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44,770,000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96,396,740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78,737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12,551,400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544,186,260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6,902,400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363,679,768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2,302,400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69,517,760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7,168,800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372,332,700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3,027,600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127,571,840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Hydro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181,454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915,852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2,202,575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247,515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79,979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2,564,808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38,939,619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1,631,724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27,570,072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403,980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7,060,290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8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59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80,850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1,434,740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97,790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1,560,705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832,817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2,625,545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33,550,446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663,650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7,629,445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12,069,266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393,566,738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4,388,232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132,871,078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5,647,200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184,778,433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59,567,000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1,633,837,299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47,355,000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1,293,911,817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23,301,750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540,813,829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74,832,700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1,584,000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51,941,000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26,242,000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23,541,608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15,000,314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2,423,750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16,164,814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11,949,000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3,903,550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71,371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22,694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14,485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2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8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8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2000-06-08T12:08:00Z</dcterms:created>
  <dc:creator>rshults</dc:creator>
  <dc:description/>
  <dc:language>en-CA</dc:language>
  <cp:lastModifiedBy>csoutha</cp:lastModifiedBy>
  <cp:lastPrinted>2000-06-07T07:38:00Z</cp:lastPrinted>
  <dcterms:modified xsi:type="dcterms:W3CDTF">2000-06-08T12:43:00Z</dcterms:modified>
  <cp:revision>6</cp:revision>
  <dc:subject/>
  <dc:title/>
</cp:coreProperties>
</file>