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696236705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June 2,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0781114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0781115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A</w:t>
            <w:tab/>
            <w:t xml:space="preserve">  Transaction Summary</w:t>
            <w:tab/>
          </w:r>
          <w:hyperlink w:anchor="__RefHeading___Toc480781116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B</w:t>
            <w:tab/>
            <w:t xml:space="preserve">  Competitor Information</w:t>
            <w:tab/>
          </w:r>
          <w:hyperlink w:anchor="__RefHeading___Toc480781117">
            <w:r>
              <w:rPr>
                <w:rStyle w:val="IndexLink"/>
              </w:rPr>
              <w:t>5</w:t>
            </w:r>
          </w:hyperlink>
        </w:p>
        <w:p>
          <w:pPr>
            <w:pStyle w:val="TOC2"/>
            <w:tabs>
              <w:tab w:val="clear" w:pos="360"/>
              <w:tab w:val="right" w:pos="7920" w:leader="dot"/>
            </w:tabs>
            <w:rPr/>
          </w:pPr>
          <w:r>
            <w:rPr/>
            <w:t>C   Failed Transactions</w:t>
            <w:tab/>
          </w:r>
          <w:hyperlink w:anchor="__RefHeading___Toc480781118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D   Number of Counterparties </w:t>
            <w:tab/>
          </w:r>
          <w:hyperlink w:anchor="__RefHeading___Toc480781119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E   Auctions</w:t>
            <w:tab/>
          </w:r>
          <w:hyperlink w:anchor="__RefHeading___Toc480781120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F    System Issues</w:t>
            <w:tab/>
          </w:r>
          <w:hyperlink w:anchor="__RefHeading___Toc480781121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G   Customer Activity  </w:t>
            <w:tab/>
          </w:r>
          <w:hyperlink w:anchor="__RefHeading___Toc480781122">
            <w:r>
              <w:rPr>
                <w:rStyle w:val="IndexLink"/>
              </w:rPr>
              <w:t>7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0781114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2,040</w:t>
        <w:tab/>
        <w:t>130,521</w:t>
        <w:tab/>
        <w:t>135,522</w:t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1,426,094,123</w:t>
        <w:tab/>
        <w:t>59,412,640,476</w:t>
        <w:tab/>
        <w:t>60,625,312,467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6930" w:leader="none"/>
          <w:tab w:val="decimal" w:pos="882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3,254,211,196</w:t>
        <w:tab/>
        <w:t>3,349,962,688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5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354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788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11</w:t>
      </w:r>
    </w:p>
    <w:p>
      <w:pPr>
        <w:pStyle w:val="FootnoteText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persons logged in today</w:t>
        <w:tab/>
        <w:t>1,919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Companies logged in with Execution rights  </w:t>
        <w:tab/>
        <w:t>815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Guest Users (no Transaction rights)</w:t>
        <w:tab/>
        <w:t>39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536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2,040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0781115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0781116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97550" cy="67259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672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  <w:bookmarkStart w:id="3" w:name="__RefHeading___Toc480781117"/>
      <w:bookmarkStart w:id="4" w:name="__RefHeading___Toc480781117"/>
      <w:r>
        <w:br w:type="page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bookmarkStart w:id="5" w:name="__RefHeading___Toc480781117"/>
      <w:r>
        <w:rPr/>
        <w:t>B</w:t>
        <w:tab/>
        <w:t>Competitor Information</w:t>
      </w:r>
      <w:bookmarkEnd w:id="5"/>
    </w:p>
    <w:p>
      <w:pPr>
        <w:pStyle w:val="Normal"/>
        <w:rPr/>
      </w:pPr>
      <w:r>
        <w:rPr/>
      </w:r>
    </w:p>
    <w:p>
      <w:pPr>
        <w:pStyle w:val="FootnoteText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center" w:pos="8460" w:leader="none"/>
        </w:tabs>
        <w:rPr>
          <w:sz w:val="16"/>
        </w:rPr>
      </w:pPr>
      <w:r>
        <w:rPr>
          <w:sz w:val="16"/>
        </w:rPr>
      </w:r>
    </w:p>
    <w:tbl>
      <w:tblPr>
        <w:tblW w:w="878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98"/>
        <w:gridCol w:w="1652"/>
        <w:gridCol w:w="1068"/>
        <w:gridCol w:w="1152"/>
        <w:gridCol w:w="765"/>
        <w:gridCol w:w="1176"/>
        <w:gridCol w:w="1167"/>
        <w:gridCol w:w="2"/>
      </w:tblGrid>
      <w:tr>
        <w:trPr>
          <w:trHeight w:val="238" w:hRule="atLeast"/>
        </w:trPr>
        <w:tc>
          <w:tcPr>
            <w:tcW w:w="17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Market/</w:t>
            </w:r>
          </w:p>
        </w:tc>
        <w:tc>
          <w:tcPr>
            <w:tcW w:w="165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Competitor </w:t>
            </w:r>
          </w:p>
        </w:tc>
        <w:tc>
          <w:tcPr>
            <w:tcW w:w="1068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Number of</w:t>
            </w:r>
          </w:p>
        </w:tc>
        <w:tc>
          <w:tcPr>
            <w:tcW w:w="1152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Transactions</w:t>
            </w:r>
          </w:p>
        </w:tc>
        <w:tc>
          <w:tcPr>
            <w:tcW w:w="3110" w:type="dxa"/>
            <w:gridSpan w:val="3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Volume</w:t>
            </w:r>
          </w:p>
        </w:tc>
      </w:tr>
      <w:tr>
        <w:trPr>
          <w:trHeight w:val="238" w:hRule="atLeast"/>
        </w:trPr>
        <w:tc>
          <w:tcPr>
            <w:tcW w:w="17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Commodities</w:t>
            </w:r>
          </w:p>
        </w:tc>
        <w:tc>
          <w:tcPr>
            <w:tcW w:w="165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Name</w:t>
            </w:r>
          </w:p>
        </w:tc>
        <w:tc>
          <w:tcPr>
            <w:tcW w:w="1068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152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  <w:tc>
          <w:tcPr>
            <w:tcW w:w="765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Units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167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6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6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Natural Gas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396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1,634 </w:t>
            </w:r>
          </w:p>
        </w:tc>
        <w:tc>
          <w:tcPr>
            <w:tcW w:w="76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16,069,149 </w:t>
            </w:r>
          </w:p>
        </w:tc>
        <w:tc>
          <w:tcPr>
            <w:tcW w:w="116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439,904,388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Canadian Natural Gas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3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283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179 </w:t>
            </w:r>
          </w:p>
        </w:tc>
        <w:tc>
          <w:tcPr>
            <w:tcW w:w="76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12,699,800 </w:t>
            </w:r>
          </w:p>
        </w:tc>
        <w:tc>
          <w:tcPr>
            <w:tcW w:w="116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13,477,787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4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73 </w:t>
            </w:r>
          </w:p>
        </w:tc>
        <w:tc>
          <w:tcPr>
            <w:tcW w:w="76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MWh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286,800 </w:t>
            </w:r>
          </w:p>
        </w:tc>
        <w:tc>
          <w:tcPr>
            <w:tcW w:w="116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791,200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5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 </w:t>
            </w:r>
          </w:p>
        </w:tc>
        <w:tc>
          <w:tcPr>
            <w:tcW w:w="76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76,000 </w:t>
            </w:r>
          </w:p>
        </w:tc>
        <w:tc>
          <w:tcPr>
            <w:tcW w:w="116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4,165,000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WEATHER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6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 </w:t>
            </w:r>
          </w:p>
        </w:tc>
        <w:tc>
          <w:tcPr>
            <w:tcW w:w="76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Contracts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16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Petrochemicals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7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76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44,000 </w:t>
            </w:r>
          </w:p>
        </w:tc>
        <w:tc>
          <w:tcPr>
            <w:tcW w:w="116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Crude and Liquides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customMarkFollows="1" w:id="8"/>
              <w:t>4</w:t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76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274,060 </w:t>
            </w:r>
          </w:p>
        </w:tc>
        <w:tc>
          <w:tcPr>
            <w:tcW w:w="116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114,390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Crude and Liquides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9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62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80 </w:t>
            </w:r>
          </w:p>
        </w:tc>
        <w:tc>
          <w:tcPr>
            <w:tcW w:w="76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940,500 </w:t>
            </w:r>
          </w:p>
        </w:tc>
        <w:tc>
          <w:tcPr>
            <w:tcW w:w="116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4,575,610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FootnoteText"/>
        <w:tabs>
          <w:tab w:val="clear" w:pos="720"/>
          <w:tab w:val="left" w:pos="57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 w:end="-1051"/>
        <w:rPr/>
      </w:pPr>
      <w:r>
        <w:rPr/>
      </w:r>
      <w:r>
        <w:br w:type="page"/>
      </w:r>
    </w:p>
    <w:p>
      <w:pPr>
        <w:pStyle w:val="Heading2"/>
        <w:ind w:hanging="0" w:start="0"/>
        <w:rPr/>
      </w:pPr>
      <w:bookmarkStart w:id="6" w:name="__RefHeading___Toc480781118"/>
      <w:bookmarkEnd w:id="6"/>
      <w:r>
        <w:rPr/>
        <w:t>C  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751 transaction attempts that did not succeed which represents 27% of all transaction attempts.  Of these, 683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683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12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56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7" w:name="__RefHeading___Toc480781119"/>
      <w:bookmarkEnd w:id="7"/>
      <w:r>
        <w:rPr/>
        <w:t xml:space="preserve">D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880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1,015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Users</w:t>
        <w:tab/>
        <w:t>4,162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Rejections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64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41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166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No Response,etc)  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1</w:t>
        <w:tab/>
        <w:t>0</w:t>
        <w:tab/>
        <w:t>1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32</w:t>
        <w:tab/>
        <w:t>3</w:t>
        <w:tab/>
        <w:t>29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13</w:t>
        <w:tab/>
        <w:t>3</w:t>
        <w:tab/>
        <w:t>10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52</w:t>
        <w:tab/>
        <w:t>4</w:t>
        <w:tab/>
        <w:t>48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8" w:name="__RefHeading___Toc480781120"/>
      <w:bookmarkEnd w:id="8"/>
      <w:r>
        <w:rPr/>
        <w:t>E  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bookmarkStart w:id="9" w:name="__RefHeading___Toc480781121"/>
            <w:bookmarkEnd w:id="9"/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May: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               -   </w:t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F  System Issues</w:t>
      </w:r>
    </w:p>
    <w:p>
      <w:pPr>
        <w:pStyle w:val="FootnoteText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There were no system issues that interfered with trading today.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/>
        </w:rPr>
      </w:r>
    </w:p>
    <w:p>
      <w:pPr>
        <w:pStyle w:val="Heading2"/>
        <w:ind w:hanging="0" w:start="0"/>
        <w:rPr/>
      </w:pPr>
      <w:bookmarkStart w:id="10" w:name="__RefHeading___Toc480781122"/>
      <w:bookmarkEnd w:id="10"/>
      <w:r>
        <w:rPr/>
        <w:t>G  Customer Activity  Top Customers by Commodity (Today)</w:t>
      </w:r>
    </w:p>
    <w:p>
      <w:pPr>
        <w:pStyle w:val="FootnoteText"/>
        <w:rPr/>
      </w:pPr>
      <w:r>
        <w:rPr>
          <w:rFonts w:eastAsia="Arial"/>
        </w:rPr>
        <w:t xml:space="preserve">     </w:t>
      </w:r>
      <w:r>
        <w:rPr/>
        <w:t>Page 1 of 2</w:t>
      </w:r>
    </w:p>
    <w:tbl>
      <w:tblPr>
        <w:tblW w:w="925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810"/>
        <w:gridCol w:w="1073"/>
        <w:gridCol w:w="504"/>
        <w:gridCol w:w="1393"/>
        <w:gridCol w:w="504"/>
        <w:gridCol w:w="1476"/>
        <w:gridCol w:w="492"/>
      </w:tblGrid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06/02/00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9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73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39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90.9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49,675,000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73.6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203,711,973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74.5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88.7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9,696,905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72.9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39,457,058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72.6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92.3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21,926,747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96.9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90,300,068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97.2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94.4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38,769,598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84.6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158,248,332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84.7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95.3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13,444,000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92.4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56,520,630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94.1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1,630,943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5,929,408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Amoco Canada Petroleum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841,496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3,049,989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84.6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7,948,393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50.5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30,310,466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49.6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Progas Enterprises Limite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151,889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550,013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322,258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1,181,880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71,773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Total Gas Marketing Limit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790,000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2,331,057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Morgan Stanley Capital Gr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905,000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2,927,938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68.1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1,578,051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70.2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PowerGen UK Plc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2,081,705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74.6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27.3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6.6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113,136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7.0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Reliant Energy Services,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40.9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20.7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1,562,600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18.9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Services,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43.8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440,200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10.8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30.4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16.8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2,943,440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16.3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81.2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12,903,880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80.2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141,600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6,479,200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19.1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63.6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46,320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94.2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665,497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93.8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MVV Energie AG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7,175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52.3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99.1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366,873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99.1</w:t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Heading7"/>
        <w:ind w:hanging="0" w:end="0"/>
        <w:rPr>
          <w:sz w:val="22"/>
        </w:rPr>
      </w:pPr>
      <w:r>
        <w:rPr>
          <w:sz w:val="22"/>
        </w:rPr>
        <w:t>Customer Activity  Top Customers by Commodity (Today)</w:t>
      </w:r>
    </w:p>
    <w:p>
      <w:pPr>
        <w:pStyle w:val="Normal"/>
        <w:rPr/>
      </w:pPr>
      <w:r>
        <w:rPr>
          <w:rFonts w:eastAsia="Arial"/>
        </w:rPr>
        <w:t xml:space="preserve"> </w:t>
      </w:r>
      <w:r>
        <w:rPr/>
        <w:t>Page 2 of 2</w:t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530"/>
        <w:gridCol w:w="90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06/02//00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90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  <w:sz w:val="14"/>
        </w:rPr>
      </w:pPr>
      <w:r>
        <w:rPr>
          <w:b/>
          <w:sz w:val="14"/>
        </w:rPr>
      </w:r>
    </w:p>
    <w:tbl>
      <w:tblPr>
        <w:tblW w:w="925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73"/>
        <w:gridCol w:w="504"/>
        <w:gridCol w:w="1573"/>
        <w:gridCol w:w="504"/>
        <w:gridCol w:w="1386"/>
        <w:gridCol w:w="492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Hafslund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145,855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Scandic Energi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75,549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Disam 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22,090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334,678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83.3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91,728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67.7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2,952,729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68.3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Independent Energy UK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21,840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559,354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1,775,000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53,833,750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96.2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The Chase Manhattan Bank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5,313,000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Morgan Stanley Capital Gr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37.5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12,599,760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37.4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Vitol S.A.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1,116,000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66.3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909,000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Vanguard Petroleum Corp.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374,063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n/a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n/a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77,750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n/a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361,250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Public Service Electric 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363,750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BodyText"/>
        <w:rPr>
          <w:b/>
          <w:sz w:val="14"/>
        </w:rPr>
      </w:pPr>
      <w:r>
        <w:br w:type="page"/>
      </w:r>
      <w:r>
        <w:rPr>
          <w:b/>
          <w:sz w:val="14"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/>
      </w:pPr>
      <w:r>
        <w:rPr/>
        <w:t>Page 1 of  2</w:t>
      </w:r>
    </w:p>
    <w:tbl>
      <w:tblPr>
        <w:tblW w:w="922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90"/>
        <w:gridCol w:w="1006"/>
        <w:gridCol w:w="473"/>
        <w:gridCol w:w="1401"/>
        <w:gridCol w:w="473"/>
        <w:gridCol w:w="1417"/>
        <w:gridCol w:w="461"/>
      </w:tblGrid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61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7,011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76.5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1,522,025,108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4,593,889,447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56.6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5,868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83.8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2,812,956,186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8,709,352,848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78.8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4,593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564,601,318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1,878,929,340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45.4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4,275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119,452,097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360,750,009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58.1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 Gas,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75.2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2,070,558,073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6,850,342,421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33.8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Limited Partne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2,404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90.2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1,006,665,836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2,871,837,882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80.3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 division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1,606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93.5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120,555,162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351,333,014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73.3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1,562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96.4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267,174,211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764,947,978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89.6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Canada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1,121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232,126,095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90.9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637,358,891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88.8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Cook Inlet Energy Supply Limited Par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1,101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15,010,477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44,024,891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71.8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62.4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11,767,500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29,146,902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60.3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9,572,500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22,754,320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36.0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8,427,500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63.4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16,810,942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63.1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934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62.8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125,280,000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287,091,551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52.8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66,927,500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147,241,358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58.4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86.5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83,725,000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200,235,174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61,055,000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12.4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134,807,109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14.1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44,770,000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96,396,740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49.0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BROADWING COMMUNICATION SERVICES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1,103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37.5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11,865,000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505,882,880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31.6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858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47.5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6,681,200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350,385,148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28.4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2,291,200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68,851,360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27.9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59.6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6,722,400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343,793,720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51.9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14.8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2,876,800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120,229,040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92,895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44.9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1,641,401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44.7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2,114,554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Hydro Partnership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11,040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181,454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2.7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EVN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120,300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1,596,255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Osterreichische Elektrizitaetswirtsc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23,220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300,716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63.8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E&amp;T Energie Handelsgesellschaft m.b.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75,900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915,852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25.9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Reliant Energy Trading &amp; Marketing 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2,178,873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32.6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30.8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185,809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8.7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77,287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93.4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65.4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2,440,788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38,904,148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51.5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1,528,224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28,907,607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64.4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EnBW Gesellschaft fur Stromhandel mb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38.6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402,480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7,032,487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40.8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21,920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584,620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45.9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412,072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22.2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194,717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16.9</w:t>
            </w:r>
          </w:p>
        </w:tc>
      </w:tr>
    </w:tbl>
    <w:p>
      <w:pPr>
        <w:pStyle w:val="FootnoteText"/>
        <w:rPr/>
      </w:pPr>
      <w:r>
        <w:br w:type="page"/>
      </w:r>
      <w:r>
        <w:rPr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FootnoteText"/>
        <w:rPr/>
      </w:pPr>
      <w:r>
        <w:rPr/>
        <w:t>Page 2 of 2</w:t>
      </w:r>
    </w:p>
    <w:tbl>
      <w:tblPr>
        <w:tblW w:w="1002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704"/>
        <w:gridCol w:w="1671"/>
        <w:gridCol w:w="794"/>
        <w:gridCol w:w="1241"/>
        <w:gridCol w:w="720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72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7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473"/>
        <w:gridCol w:w="1851"/>
        <w:gridCol w:w="473"/>
        <w:gridCol w:w="1687"/>
        <w:gridCol w:w="461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Aare-Tessin AG fur Elektrizitat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38.2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1,384,051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68,290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1,086,865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42,700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830,649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8,720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334,528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17,840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763,751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67,440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2,039,399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2,407,385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31,395,412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1,571,810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21,787,805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 Trading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663,650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85.8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7,629,445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11,585,426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48.8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378,305,255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4,210,152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127,121,561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5,559,840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182,542,013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1,586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56,017,000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1,339,656,555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Company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45,480,000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1,213,967,969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23,051,750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526,076,829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Metals as Agent and on behalf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78.6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2,232,000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72,440,700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1,544,000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50,472,000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Fortum Gas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776,000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26,242,000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Shell Chemical Risk Management Compa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3,314,446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68.8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8,573,927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ConAgra Energy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Diamond-Koch,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192,000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23,151,608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Trammochem, a Division of Transammon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63.2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1,510,000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15,000,314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Voest-Alpine Intertrading U.S.A.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12,519,943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2,348,750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15,931,564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1,463,500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18,572,035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Marketing and Trade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1,668,000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8,401,819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11,949,000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7,989,875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Carbon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3,903,550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35.8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9,150,750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88.2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627" w:right="1282" w:gutter="0" w:header="0" w:top="1440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39.8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Altrade offers both financial and physical products for North American Natural Gas.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 xml:space="preserve">EnronOnline offers both financial and physical products for North America Natural Gas,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however NGX only offers physical 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Chemmatch provides both transaction and volume information.</w:t>
      </w:r>
    </w:p>
  </w:footnote>
  <w:footnote w:id="8">
    <w:p>
      <w:pPr>
        <w:pStyle w:val="FootnoteText"/>
        <w:rPr>
          <w:rFonts w:ascii="Arial" w:hAnsi="Arial" w:cs="Arial"/>
          <w:sz w:val="16"/>
        </w:rPr>
      </w:pPr>
      <w:r>
        <w:rPr>
          <w:rStyle w:val="FootnoteCharacters"/>
        </w:rPr>
        <w:t>4</w:t>
      </w:r>
      <w:r>
        <w:rPr>
          <w:rFonts w:cs="Arial" w:ascii="Arial" w:hAnsi="Arial"/>
          <w:sz w:val="16"/>
        </w:rPr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 xml:space="preserve">EnronOnline separates Crude and Liquides from LPG’s, however Altrade reports Crude, Liquides, and LPG’s  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in their  transaction and volume information.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BodyText3">
    <w:name w:val="Body Text 3"/>
    <w:basedOn w:val="Normal"/>
    <w:qFormat/>
    <w:pPr/>
    <w:rPr>
      <w:rFonts w:ascii="Arial" w:hAnsi="Arial" w:cs="Arial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2000-06-05T16:30:00Z</dcterms:created>
  <dc:creator>rshults</dc:creator>
  <dc:description/>
  <dc:language>en-CA</dc:language>
  <cp:lastModifiedBy>lpacheco</cp:lastModifiedBy>
  <cp:lastPrinted>2000-06-05T07:52:00Z</cp:lastPrinted>
  <dcterms:modified xsi:type="dcterms:W3CDTF">2000-06-05T16:30:00Z</dcterms:modified>
  <cp:revision>2</cp:revision>
  <dc:subject/>
  <dc:title/>
</cp:coreProperties>
</file>