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557515159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May 31,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0781114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078111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0781116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B</w:t>
            <w:tab/>
            <w:t xml:space="preserve">  Competitor Information</w:t>
            <w:tab/>
          </w:r>
          <w:hyperlink w:anchor="__RefHeading___Toc480781117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tabs>
              <w:tab w:val="clear" w:pos="360"/>
              <w:tab w:val="right" w:pos="7920" w:leader="dot"/>
            </w:tabs>
            <w:rPr/>
          </w:pPr>
          <w:r>
            <w:rPr/>
            <w:t>C   Failed Transactions</w:t>
            <w:tab/>
          </w:r>
          <w:hyperlink w:anchor="__RefHeading___Toc480781118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D   Number of Counterparties </w:t>
            <w:tab/>
          </w:r>
          <w:hyperlink w:anchor="__RefHeading___Toc480781119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E   Auctions</w:t>
            <w:tab/>
          </w:r>
          <w:hyperlink w:anchor="__RefHeading___Toc480781120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F    System Issues</w:t>
            <w:tab/>
          </w:r>
          <w:hyperlink w:anchor="__RefHeading___Toc480781121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G   Customer Activity  </w:t>
            <w:tab/>
          </w:r>
          <w:hyperlink w:anchor="__RefHeading___Toc480781122">
            <w:r>
              <w:rPr>
                <w:rStyle w:val="IndexLink"/>
              </w:rPr>
              <w:t>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0781114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2,417</w:t>
        <w:tab/>
        <w:t>125,878</w:t>
        <w:tab/>
        <w:t>130,879</w:t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2,225,078,089</w:t>
        <w:tab/>
        <w:t>55,910,734,903</w:t>
        <w:tab/>
        <w:t>57,123,406,893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>(UK Power and Norwegian Power trading information is not included in the value numbers listed above.)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3,151,947,359</w:t>
        <w:tab/>
        <w:t>3,247,698,851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3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348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843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2,157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834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52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519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2,417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0781115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0781116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97550" cy="67259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672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3"/>
        <w:rPr/>
      </w:pPr>
      <w:r>
        <w:rPr/>
        <w:t xml:space="preserve">*UK Power and Norwegian Power trading information for May 31, 2000 is not included in the </w:t>
      </w:r>
      <w:bookmarkStart w:id="3" w:name="__RefHeading___Toc480781117"/>
      <w:r>
        <w:rPr/>
        <w:t>above summary.  Norway is on holiday and UK power suffered severe system problems which prevented them from sending the necessary information.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B</w:t>
        <w:tab/>
        <w:t>Competitor Information</w:t>
      </w:r>
      <w:bookmarkEnd w:id="3"/>
    </w:p>
    <w:p>
      <w:pPr>
        <w:pStyle w:val="Normal"/>
        <w:rPr/>
      </w:pPr>
      <w:r>
        <w:rPr/>
      </w:r>
    </w:p>
    <w:tbl>
      <w:tblPr>
        <w:tblW w:w="9163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98"/>
        <w:gridCol w:w="24"/>
        <w:gridCol w:w="1898"/>
        <w:gridCol w:w="43"/>
        <w:gridCol w:w="1025"/>
        <w:gridCol w:w="57"/>
        <w:gridCol w:w="1095"/>
        <w:gridCol w:w="74"/>
        <w:gridCol w:w="691"/>
        <w:gridCol w:w="84"/>
        <w:gridCol w:w="1092"/>
        <w:gridCol w:w="101"/>
        <w:gridCol w:w="1066"/>
        <w:gridCol w:w="115"/>
      </w:tblGrid>
      <w:tr>
        <w:trPr>
          <w:trHeight w:val="240" w:hRule="atLeast"/>
        </w:trPr>
        <w:tc>
          <w:tcPr>
            <w:tcW w:w="1822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Competitor 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169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775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181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40" w:hRule="atLeast"/>
        </w:trPr>
        <w:tc>
          <w:tcPr>
            <w:tcW w:w="1822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941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1082" w:type="dxa"/>
            <w:gridSpan w:val="2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69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775" w:type="dxa"/>
            <w:gridSpan w:val="2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193" w:type="dxa"/>
            <w:gridSpan w:val="2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81" w:type="dxa"/>
            <w:gridSpan w:val="2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>
          <w:trHeight w:val="204" w:hRule="atLeast"/>
        </w:trPr>
        <w:tc>
          <w:tcPr>
            <w:tcW w:w="1822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941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82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69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7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93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81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922" w:type="dxa"/>
            <w:gridSpan w:val="2"/>
            <w:tcBorders/>
            <w:shd w:fill="FFFFFF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</w:t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403 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1,870 </w:t>
            </w:r>
          </w:p>
        </w:tc>
        <w:tc>
          <w:tcPr>
            <w:tcW w:w="76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6,565,098 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559,159,758 </w:t>
            </w:r>
          </w:p>
        </w:tc>
        <w:tc>
          <w:tcPr>
            <w:tcW w:w="11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922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  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182 </w:t>
            </w:r>
          </w:p>
        </w:tc>
        <w:tc>
          <w:tcPr>
            <w:tcW w:w="76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14,023,900 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37,278,554 </w:t>
            </w:r>
          </w:p>
        </w:tc>
        <w:tc>
          <w:tcPr>
            <w:tcW w:w="11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922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109 </w:t>
            </w:r>
          </w:p>
        </w:tc>
        <w:tc>
          <w:tcPr>
            <w:tcW w:w="76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279,000 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1,907,600 </w:t>
            </w:r>
          </w:p>
        </w:tc>
        <w:tc>
          <w:tcPr>
            <w:tcW w:w="11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922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 </w:t>
            </w:r>
          </w:p>
        </w:tc>
        <w:tc>
          <w:tcPr>
            <w:tcW w:w="76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166,500 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14,902,500 </w:t>
            </w:r>
          </w:p>
        </w:tc>
        <w:tc>
          <w:tcPr>
            <w:tcW w:w="11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922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 </w:t>
            </w:r>
          </w:p>
        </w:tc>
        <w:tc>
          <w:tcPr>
            <w:tcW w:w="76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Contracts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8</w:t>
            </w:r>
          </w:p>
        </w:tc>
        <w:tc>
          <w:tcPr>
            <w:tcW w:w="11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922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 </w:t>
            </w:r>
          </w:p>
        </w:tc>
        <w:tc>
          <w:tcPr>
            <w:tcW w:w="76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21,600 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10,000 </w:t>
            </w:r>
          </w:p>
        </w:tc>
        <w:tc>
          <w:tcPr>
            <w:tcW w:w="11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922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13 </w:t>
            </w:r>
          </w:p>
        </w:tc>
        <w:tc>
          <w:tcPr>
            <w:tcW w:w="76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257,416 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641,789 </w:t>
            </w:r>
          </w:p>
        </w:tc>
        <w:tc>
          <w:tcPr>
            <w:tcW w:w="11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2" w:hRule="atLeast"/>
        </w:trPr>
        <w:tc>
          <w:tcPr>
            <w:tcW w:w="1798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922" w:type="dxa"/>
            <w:gridSpan w:val="2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1068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66 </w:t>
            </w:r>
          </w:p>
        </w:tc>
        <w:tc>
          <w:tcPr>
            <w:tcW w:w="1152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78 </w:t>
            </w:r>
          </w:p>
        </w:tc>
        <w:tc>
          <w:tcPr>
            <w:tcW w:w="765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76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1,585,000 </w:t>
            </w:r>
          </w:p>
        </w:tc>
        <w:tc>
          <w:tcPr>
            <w:tcW w:w="1167" w:type="dxa"/>
            <w:gridSpan w:val="2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4,048,211 </w:t>
            </w:r>
          </w:p>
        </w:tc>
        <w:tc>
          <w:tcPr>
            <w:tcW w:w="11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FootnoteTex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center" w:pos="846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</w:r>
    </w:p>
    <w:p>
      <w:pPr>
        <w:pStyle w:val="FootnoteText"/>
        <w:tabs>
          <w:tab w:val="clear" w:pos="720"/>
          <w:tab w:val="left" w:pos="5760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  <w:r>
        <w:br w:type="page"/>
      </w:r>
    </w:p>
    <w:p>
      <w:pPr>
        <w:pStyle w:val="Heading2"/>
        <w:ind w:hanging="0" w:start="0"/>
        <w:rPr/>
      </w:pPr>
      <w:bookmarkStart w:id="4" w:name="__RefHeading___Toc480781118"/>
      <w:bookmarkEnd w:id="4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899 transaction attempts that did not succeed which represents 27% of all transaction attempts.  Of these, 862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862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21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16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5" w:name="__RefHeading___Toc480781119"/>
      <w:bookmarkEnd w:id="5"/>
      <w:r>
        <w:rPr/>
        <w:t xml:space="preserve">D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873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1007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>4129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60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41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166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No Response,etc)  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1</w:t>
        <w:tab/>
        <w:t>0</w:t>
        <w:tab/>
        <w:t>1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34</w:t>
        <w:tab/>
        <w:t>4</w:t>
        <w:tab/>
        <w:t>30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6</w:t>
        <w:tab/>
        <w:t>2</w:t>
        <w:tab/>
        <w:t>4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53</w:t>
        <w:tab/>
        <w:t>4</w:t>
        <w:tab/>
        <w:t>49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6" w:name="__RefHeading___Toc480781120"/>
      <w:bookmarkEnd w:id="6"/>
      <w:r>
        <w:rPr/>
        <w:t>E  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bookmarkStart w:id="7" w:name="__RefHeading___Toc480781121"/>
            <w:bookmarkEnd w:id="7"/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May: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F  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There were no system issues that interfered with trading today.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/>
      </w:pPr>
      <w:bookmarkStart w:id="8" w:name="__RefHeading___Toc480781122"/>
      <w:bookmarkEnd w:id="8"/>
      <w:r>
        <w:rPr/>
        <w:t>G  Customer Activity  Top Customers by Commodity (Today)</w:t>
      </w:r>
    </w:p>
    <w:p>
      <w:pPr>
        <w:pStyle w:val="Footnote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cs="Arial" w:ascii="Arial" w:hAnsi="Arial"/>
        </w:rPr>
        <w:t>Page 1 of 2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34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1573"/>
        <w:gridCol w:w="504"/>
        <w:gridCol w:w="1476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05/31/00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9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7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Services,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50,133,194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221,144,254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90.7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95.6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55,628,870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247,279,013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95.4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89.9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67,889,000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305,951,750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71.1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77,615,000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92.1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346,295,188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23,276,259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102,304,944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45.4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4,476,465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18,662,084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7,919,959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34,418,206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1,284,553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5,629,322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64.6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84.6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3,804,537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16,511,209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62.9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Cook Inlet Energy Supply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469,691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1,934,833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77.6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59,064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907,500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2,775,059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Norsk Hydro Energy B.V.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790,277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Norsk Hydro Energy B.V.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19.8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790,277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67.6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3,680,000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84.9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11,507,831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84.6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2,517,500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99.2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8,090,089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99.2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Alliance Gas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2,617,500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7,746,792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88.9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88.1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5,478,814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86.9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87.5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1,137,500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3,999,487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82.6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El Paso Merchant Energy,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65.2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250,400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18,416,220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81.3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61.1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185,600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68.1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14,028,680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72.1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31.3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121,200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10,612,420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40.6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19.6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458,400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69.3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21,981,600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61.4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46.2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64,800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3,075,100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45.6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25,805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49.8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Trading &amp;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3,600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117,281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63.6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75,840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1,097,525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55.1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169,020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81.1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3,034,254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18.2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156,900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97.4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3,459,590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Heading7"/>
        <w:ind w:hanging="0" w:end="0"/>
        <w:rPr>
          <w:sz w:val="22"/>
        </w:rPr>
      </w:pPr>
      <w:r>
        <w:br w:type="page"/>
      </w: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Page 2 of 2</w:t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For 05/31//00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tbl>
      <w:tblPr>
        <w:tblW w:w="934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1573"/>
        <w:gridCol w:w="504"/>
        <w:gridCol w:w="1476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35,795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  <w:r>
              <w:rPr>
                <w:rStyle w:val="FootnoteCharacters"/>
                <w:rStyle w:val="FootnoteReference"/>
                <w:rFonts w:cs="Arial" w:ascii="Arial" w:hAnsi="Arial"/>
                <w:b/>
                <w:color w:val="000000"/>
                <w:sz w:val="14"/>
                <w:lang w:eastAsia="en-US"/>
              </w:rPr>
              <w:footnoteReference w:id="10"/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  <w:r>
              <w:rPr>
                <w:rStyle w:val="FootnoteCharacters"/>
                <w:rStyle w:val="FootnoteReference"/>
                <w:rFonts w:cs="Arial" w:ascii="Arial" w:hAnsi="Arial"/>
                <w:b/>
                <w:color w:val="000000"/>
                <w:sz w:val="14"/>
                <w:lang w:eastAsia="en-US"/>
              </w:rPr>
              <w:footnoteReference w:id="11"/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70.7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48,134,750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65.7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67.5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20,271,657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67.8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Morgan Stanley Capital Gr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39,573,000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50.4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Dow Chemical Company, The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1,414,351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79.7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Fortum Gas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819,000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Koch Metals as Agent and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840,000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75.7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558,601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Delmarva Power &amp; Light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727,500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1,095,000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1,100,000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"%T" is the percentage of EOL to customer total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7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</w:rPr>
      </w:pPr>
      <w:r>
        <w:br w:type="page"/>
      </w: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/>
      </w:pPr>
      <w:r>
        <w:rPr/>
        <w:t>Page 1 of  2</w:t>
      </w:r>
    </w:p>
    <w:tbl>
      <w:tblPr>
        <w:tblW w:w="931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540"/>
        <w:gridCol w:w="1006"/>
        <w:gridCol w:w="473"/>
        <w:gridCol w:w="1851"/>
        <w:gridCol w:w="473"/>
        <w:gridCol w:w="1507"/>
        <w:gridCol w:w="461"/>
      </w:tblGrid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61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0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1,488,598,785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4,451,249,313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5,773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2,776,935,001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8,559,665,006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79.3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4,405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512,806,818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1,662,458,214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42.4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4,160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117,804,140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353,796,484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4,008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1,989,657,206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6,517,280,243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33.4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2,354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989,655,838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2,805,153,195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118,962,829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345,285,610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264,583,364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755,340,812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Canada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1,119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232,106,878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637,287,540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14,539,380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42,276,005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11,577,500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28,562,050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9,035,000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20,814,563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8,427,500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16,810,942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122,815,000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279,558,567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66,447,500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145,663,308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59.4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82,547,500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196,417,234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59,750,000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130,312,383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43,212,500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91,916,036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1,087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11,686,600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491,397,640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6,587,600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30.4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343,682,148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2,278,000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68,267,160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6,471,600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320,991,140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2,799,600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116,878,040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53.3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92,895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1,641,401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Hydro Partnership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11,040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181,454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48.6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23,220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65.5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300,716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65.5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Handelsgesellschaft m.b.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75,900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915,852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Reliant Energy Trading &amp; Marketing 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32.2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2,178,873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32.6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11.1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185,809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8.7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77,287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93.4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2,394,468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52.1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38,238,651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1,501,824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62.3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28,540,734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64.1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402,480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39.8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7,032,487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412,072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54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19.7</w:t>
            </w:r>
          </w:p>
        </w:tc>
        <w:tc>
          <w:tcPr>
            <w:tcW w:w="150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194,717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</w:tr>
    </w:tbl>
    <w:p>
      <w:pPr>
        <w:pStyle w:val="FootnoteText"/>
        <w:rPr/>
      </w:pPr>
      <w:r>
        <w:br w:type="page"/>
      </w: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FootnoteText"/>
        <w:rPr/>
      </w:pPr>
      <w:r>
        <w:rPr/>
        <w:t>Page 2 of 2</w:t>
      </w:r>
    </w:p>
    <w:tbl>
      <w:tblPr>
        <w:tblW w:w="100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72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72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7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851"/>
        <w:gridCol w:w="473"/>
        <w:gridCol w:w="1687"/>
        <w:gridCol w:w="461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1,384,051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68,290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1,086,865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42,700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830,649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49.5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771,398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2,053,760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  <w:r>
              <w:rPr>
                <w:rStyle w:val="FootnoteCharacters"/>
                <w:rStyle w:val="FootnoteReference"/>
                <w:rFonts w:cs="Arial" w:ascii="Arial" w:hAnsi="Arial"/>
                <w:b/>
                <w:color w:val="000000"/>
                <w:sz w:val="14"/>
                <w:lang w:eastAsia="en-US"/>
              </w:rPr>
              <w:footnoteReference w:id="12"/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86.5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2,361,795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30,786,694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1,571,810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21,787,805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635,090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7,379,399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  <w:r>
              <w:rPr>
                <w:rStyle w:val="FootnoteCharacters"/>
                <w:rStyle w:val="FootnoteReference"/>
                <w:rFonts w:cs="Arial" w:ascii="Arial" w:hAnsi="Arial"/>
                <w:b/>
                <w:color w:val="000000"/>
                <w:sz w:val="14"/>
                <w:lang w:eastAsia="en-US"/>
              </w:rPr>
              <w:footnoteReference w:id="13"/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11,100,578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48.0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363,864,374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4,166,472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125,587,732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UK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5,559,840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182,542,013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1,485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53,443,000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1,262,199,115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44,705,000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1,191,254,841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22,701,750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516,850,329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78.3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2,184,000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70,682,700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1,480,000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48,181,000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Fortum Gas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59.6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26,242,000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Diamond-Koch,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23,151,608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14,435,413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Voest-Alpine Intertrading U.S.A.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69.1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12,519,943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2,348,750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15,931,564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1,463,500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18,572,035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45.8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8,401,819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19.1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11,222,750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25.3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7,989,875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Carbon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23.1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19.9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3,903,550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71.4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35.8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9,150,750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92.7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88.2</w:t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88.2</w:t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85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68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627" w:right="1282" w:gutter="0" w:header="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39.8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</w:rPr>
        <w:t>Altrade offers both financial and physical products for 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EnronOnline offers both financial and physical products for North America Natural Gas,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however NGX only 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Chemmatch provides both transaction and volume information.</w:t>
      </w:r>
    </w:p>
  </w:footnote>
  <w:footnote w:id="8">
    <w:p>
      <w:pPr>
        <w:pStyle w:val="FootnoteText"/>
        <w:rPr>
          <w:rFonts w:ascii="Arial" w:hAnsi="Arial" w:cs="Arial"/>
          <w:sz w:val="18"/>
        </w:rPr>
      </w:pPr>
      <w:r>
        <w:rPr>
          <w:rStyle w:val="FootnoteCharacters"/>
        </w:rPr>
        <w:t>4</w:t>
      </w:r>
      <w:r>
        <w:rPr>
          <w:rFonts w:cs="Arial" w:ascii="Arial" w:hAnsi="Arial"/>
          <w:sz w:val="18"/>
        </w:rPr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EnronOnline separates Crude and Liquides from LPG’s, however Altrade reports Crude, Liquides, and LPG’s  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in their  transaction and volume information.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</w:footnote>
  <w:footnote w:id="10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8"/>
        </w:rPr>
        <w:t>Norwegian Power trading information is unavailable for May 31, 2000 due to a holiday.</w:t>
      </w:r>
    </w:p>
  </w:footnote>
  <w:footnote w:id="11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UK Power trading information is unavailable for May 31, 2000 due to severe system issues which prevented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</w:t>
      </w:r>
      <w:r>
        <w:rPr>
          <w:rFonts w:cs="Arial" w:ascii="Arial" w:hAnsi="Arial"/>
          <w:sz w:val="18"/>
        </w:rPr>
        <w:t>the calculation of yesterday’s trading.</w:t>
      </w:r>
    </w:p>
  </w:footnote>
  <w:footnote w:id="12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Norwegian Power trading information is unavailable for May 31, 2000 due to a holiday.</w:t>
      </w:r>
    </w:p>
  </w:footnote>
  <w:footnote w:id="13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UK Power trading information is unavailable for May 31, 2000 due to severe system issues which prevented 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   </w:t>
      </w:r>
      <w:r>
        <w:rPr>
          <w:rFonts w:cs="Arial" w:ascii="Arial" w:hAnsi="Arial"/>
          <w:sz w:val="18"/>
        </w:rPr>
        <w:t>the calculation of yesterday’s trading.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2000-06-01T09:23:00Z</dcterms:created>
  <dc:creator>rshults</dc:creator>
  <dc:description/>
  <dc:language>en-CA</dc:language>
  <cp:lastModifiedBy>csoutha</cp:lastModifiedBy>
  <cp:lastPrinted>2000-06-01T06:46:00Z</cp:lastPrinted>
  <dcterms:modified xsi:type="dcterms:W3CDTF">2000-06-01T17:52:00Z</dcterms:modified>
  <cp:revision>14</cp:revision>
  <dc:subject/>
  <dc:title/>
</cp:coreProperties>
</file>