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7478430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May 30,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1,870</w:t>
        <w:tab/>
        <w:t>123,461</w:t>
        <w:tab/>
        <w:t>128,462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1,318,734,938</w:t>
        <w:tab/>
        <w:t>53,672,354,925</w:t>
        <w:tab/>
        <w:t>54,885,026,915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3,108,161,966</w:t>
        <w:tab/>
        <w:t>3,203,913,458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4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345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797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2,129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809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43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490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1,870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3890" cy="6640195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664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  <w:r>
        <w:br w:type="page"/>
      </w:r>
    </w:p>
    <w:p>
      <w:pPr>
        <w:pStyle w:val="Heading2"/>
        <w:ind w:hanging="0" w:start="0"/>
        <w:rPr/>
      </w:pPr>
      <w:bookmarkStart w:id="3" w:name="__RefHeading___Toc480781117"/>
      <w:bookmarkEnd w:id="3"/>
      <w:r>
        <w:rPr/>
        <w:t>B</w:t>
        <w:tab/>
        <w:t>Competitor Information</w:t>
      </w:r>
    </w:p>
    <w:p>
      <w:pPr>
        <w:pStyle w:val="Normal"/>
        <w:rPr/>
      </w:pPr>
      <w:r>
        <w:rPr/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22"/>
        <w:gridCol w:w="1598"/>
        <w:gridCol w:w="1082"/>
        <w:gridCol w:w="1169"/>
        <w:gridCol w:w="775"/>
        <w:gridCol w:w="1193"/>
        <w:gridCol w:w="1181"/>
      </w:tblGrid>
      <w:tr>
        <w:trPr>
          <w:trHeight w:val="240" w:hRule="atLeast"/>
        </w:trPr>
        <w:tc>
          <w:tcPr>
            <w:tcW w:w="182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82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169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75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9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81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182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5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82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9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75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81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372 </w:t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1,432 </w:t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30,982,666</w:t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399,585,183</w:t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275 </w:t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148 </w:t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16,784,100</w:t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17,937,836</w:t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 </w:t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273,200</w:t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548,800</w:t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</w:t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466,000</w:t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12,527,500</w:t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208,173</w:t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</w:tr>
      <w:tr>
        <w:trPr>
          <w:trHeight w:val="204" w:hRule="atLeast"/>
        </w:trPr>
        <w:tc>
          <w:tcPr>
            <w:tcW w:w="182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5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8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 </w:t>
            </w:r>
          </w:p>
        </w:tc>
        <w:tc>
          <w:tcPr>
            <w:tcW w:w="116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</w:t>
            </w:r>
          </w:p>
        </w:tc>
        <w:tc>
          <w:tcPr>
            <w:tcW w:w="77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1,013,500</w:t>
            </w:r>
          </w:p>
        </w:tc>
        <w:tc>
          <w:tcPr>
            <w:tcW w:w="11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2,250,000</w:t>
            </w:r>
          </w:p>
        </w:tc>
      </w:tr>
    </w:tbl>
    <w:p>
      <w:pPr>
        <w:pStyle w:val="FootnoteText"/>
        <w:rPr/>
      </w:pPr>
      <w:r>
        <w:rPr/>
      </w:r>
    </w:p>
    <w:p>
      <w:pPr>
        <w:pStyle w:val="Normal"/>
        <w:tabs>
          <w:tab w:val="clear" w:pos="720"/>
          <w:tab w:val="center" w:pos="84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4" w:name="__RefHeading___Toc480781118"/>
      <w:bookmarkEnd w:id="4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706 transaction attempts that did not succeed which represents 27% of all transaction attempts.  Of these, 602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602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8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96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5" w:name="__RefHeading___Toc480781119"/>
      <w:bookmarkEnd w:id="5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870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1003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4111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39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165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2</w:t>
        <w:tab/>
        <w:t>1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33</w:t>
        <w:tab/>
        <w:t>3</w:t>
        <w:tab/>
        <w:t>30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7</w:t>
        <w:tab/>
        <w:t>2</w:t>
        <w:tab/>
        <w:t>5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54</w:t>
        <w:tab/>
        <w:t>4</w:t>
        <w:tab/>
        <w:t>50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80781120"/>
      <w:bookmarkEnd w:id="6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7" w:name="__RefHeading___Toc480781121"/>
            <w:bookmarkEnd w:id="7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8" w:name="__RefHeading___Toc480781122"/>
      <w:bookmarkEnd w:id="8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2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73"/>
        <w:gridCol w:w="504"/>
        <w:gridCol w:w="1663"/>
        <w:gridCol w:w="504"/>
        <w:gridCol w:w="1746"/>
        <w:gridCol w:w="492"/>
      </w:tblGrid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05/30/00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6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72.2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24,440,000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18.6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108,178,573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92.7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25,520,000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88.5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111,072,020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90.5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86.7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35,595,000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68.7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154,551,313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82.5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10,212,500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51.1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44,865,655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53.9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79.7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21,926,937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97,109,133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60.3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4,529,484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18,106,051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908,956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3,704,793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Canada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90.9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2,496,550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68.2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10,362,825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493,813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1,899,255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Cook Inlet Energy Supply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38,695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148,164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1,315,000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4,073,702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1,373,973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263,109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263,109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4,252,500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67.4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13,094,395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2,287,500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7,168,757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1,220,000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4,158,431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85.7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89.1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5,579,706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87.3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1,135,000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4,026,783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130,400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17.5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6,467,800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Northern Indiana Public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55.6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7.7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258,400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4.4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26.3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39.4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4,016,800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29.4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69.2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189,600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71.2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Constellation Power Sourc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22.2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107,600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39.7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7,338,000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Reliant Energy Trading &amp;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62,824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16.2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111,173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12.7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64,518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86,100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1,655,742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57.1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80.6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105,903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71.9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EnBW Gesellschaft fur Str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885,269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263,750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31,271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05/30//00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tbl>
      <w:tblPr>
        <w:tblW w:w="973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663"/>
        <w:gridCol w:w="630"/>
        <w:gridCol w:w="165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78,720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849,327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Scandic Energi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47,290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555,068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Interkraft Trading ASA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12,600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108,129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88.9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174,720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91.2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4,847,313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87,360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2,251,798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43,680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1,477,457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86.2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1,450,000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63.8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44,048,250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96.9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91.4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24,112,626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1,096,000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1,100,000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Public Service Electric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342,500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2,879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/>
      </w:pPr>
      <w:r>
        <w:rPr/>
        <w:t>Page 1 of  2</w:t>
      </w:r>
    </w:p>
    <w:tbl>
      <w:tblPr>
        <w:tblW w:w="976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90"/>
        <w:gridCol w:w="1260"/>
        <w:gridCol w:w="473"/>
        <w:gridCol w:w="1597"/>
        <w:gridCol w:w="473"/>
        <w:gridCol w:w="1507"/>
        <w:gridCol w:w="461"/>
      </w:tblGrid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6,721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1,465,322,526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4,348,944,369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56.3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5,647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2,699,160,001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8,212,756,218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4,340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502,566,849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1,617,500,137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4,109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115,599,073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344,017,636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 Gas,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1,921,768,206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6,211,328,493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32.5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Marketing Limited Partne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981,735,879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2,770,734,988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80.5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117,678,276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339,656,288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260,106,899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736,678,728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89.3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Canada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230,757,320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631,586,518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91.5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1,072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14,069,689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40,341,172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11,577,500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28,562,050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8,805,000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20,030,891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8,355,000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16,597,650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68.5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892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119,135,000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268,050,736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64,785,000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140,184,493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80,030,000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188,327,145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58,830,000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127,213,940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42,762,500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90,463,820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BROADWING COMMUNICATION SERVICES INC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11,565,400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480,785,220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6,337,200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325,265,928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2,213,200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65,192,060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6,286,000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306,962,460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2,783,200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116,126,840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181,454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EVN AG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Osterreichische Elektrizitaetswirtsc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23,220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300,716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E&amp;T Energie Handelsgesellschaft m.b.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890,047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Trading &amp; Marketing B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2,061,592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162,426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77,287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2,257,548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36,267,856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1,344,924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25,081,144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EnBW Gesellschaft fur Stromhandel mb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396,780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6,952,040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Aare-Tessin AG fur Elektrizitat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76,850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1,353,511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68,290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1,086,865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Limited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42,700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830,649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62.5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5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614"/>
        <w:gridCol w:w="1890"/>
        <w:gridCol w:w="473"/>
        <w:gridCol w:w="168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22.0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42.3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771,398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2,053,760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148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86.5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2,361,795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30,786,694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96.7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635,090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7,379,399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278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57.2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11,100,578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363,864,374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4,166,472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125,587,732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44.7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5,559,840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182,542,013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1,432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89.8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51,868,000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1,214,064,365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762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79.4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43,955,000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1,168,596,683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202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28.8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22,586,750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514,008,579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140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78.7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69,842,700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99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66.4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48,181,000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Fortum Gas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74.1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25,423,000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57.1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23,151,608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61.1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1,490,000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13,876,813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52.4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12,519,943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2,348,750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15,931,564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44.4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45.8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20.9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10,122,750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30.7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23.5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3,903,550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76.2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31,611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 </w:t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88.2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10,792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2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 xml:space="preserve">The Altrade website was not available for trade information for May 26, 2000.  </w:t>
      </w:r>
      <w:r>
        <w:rPr>
          <w:rFonts w:cs="Arial" w:ascii="Arial" w:hAnsi="Arial"/>
          <w:sz w:val="16"/>
        </w:rPr>
        <w:t xml:space="preserve">EnronOnline separates Crude and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</w:t>
      </w:r>
      <w:r>
        <w:rPr>
          <w:rFonts w:cs="Arial" w:ascii="Arial" w:hAnsi="Arial"/>
          <w:sz w:val="16"/>
        </w:rPr>
        <w:t>Liquides from LPG’s, however Altrade reports Crude, Liquides, and LPG’s  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2000-05-31T09:27:00Z</dcterms:created>
  <dc:creator>rshults</dc:creator>
  <dc:description/>
  <dc:language>en-CA</dc:language>
  <cp:lastModifiedBy>csoutha</cp:lastModifiedBy>
  <cp:lastPrinted>2000-05-31T06:57:00Z</cp:lastPrinted>
  <dcterms:modified xsi:type="dcterms:W3CDTF">2000-05-31T17:43:00Z</dcterms:modified>
  <cp:revision>12</cp:revision>
  <dc:subject/>
  <dc:title/>
</cp:coreProperties>
</file>