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POWER TRADING MODEL – DESCRIPTION</w:t>
      </w:r>
    </w:p>
    <w:p>
      <w:pPr>
        <w:pStyle w:val="Normal"/>
        <w:jc w:val="both"/>
        <w:rPr/>
      </w:pPr>
      <w:r>
        <w:rPr/>
      </w:r>
    </w:p>
    <w:p>
      <w:pPr>
        <w:pStyle w:val="BodyText2"/>
        <w:rPr>
          <w:color w:val="000000"/>
        </w:rPr>
      </w:pPr>
      <w:r>
        <w:rPr>
          <w:color w:val="000000"/>
        </w:rPr>
        <w:t xml:space="preserve">The model calculates power option premiums and Greeks (Deltas, Gammas, Vegas and Thetas), for individual deals as well as for a portfolio of deals. </w:t>
      </w:r>
    </w:p>
    <w:p>
      <w:pPr>
        <w:pStyle w:val="Normal"/>
        <w:jc w:val="both"/>
        <w:rPr>
          <w:color w:val="000000"/>
        </w:rPr>
      </w:pPr>
      <w:r>
        <w:rPr>
          <w:color w:val="000000"/>
        </w:rPr>
      </w:r>
    </w:p>
    <w:p>
      <w:pPr>
        <w:pStyle w:val="BodyText"/>
        <w:rPr>
          <w:color w:val="000000"/>
        </w:rPr>
      </w:pPr>
      <w:r>
        <w:rPr>
          <w:color w:val="000000"/>
        </w:rPr>
        <w:t>For the purposes of trading, the model is split into two parts: one deals with power options traded for the near month on a daily basis (the “Daily” worksheet), and the other deals with options traded further into the future (the “Monthly” worksheet).</w:t>
      </w:r>
    </w:p>
    <w:p>
      <w:pPr>
        <w:pStyle w:val="Normal"/>
        <w:jc w:val="both"/>
        <w:rPr>
          <w:color w:val="000000"/>
        </w:rPr>
      </w:pPr>
      <w:r>
        <w:rPr>
          <w:color w:val="000000"/>
        </w:rPr>
      </w:r>
    </w:p>
    <w:p>
      <w:pPr>
        <w:pStyle w:val="Normal"/>
        <w:jc w:val="both"/>
        <w:rPr>
          <w:color w:val="000000"/>
        </w:rPr>
      </w:pPr>
      <w:r>
        <w:rPr>
          <w:color w:val="000000"/>
        </w:rPr>
        <w:t>In either case, data must be obtained by clicking on the “Fetch Curves” button on the “Daily” worksheet. This data will be stored in the “Power Curves” worksheet, and is then read automatically by various functions in the other worksheets. It should not be necessary to look at this worksheet directly.</w:t>
      </w:r>
    </w:p>
    <w:p>
      <w:pPr>
        <w:pStyle w:val="Normal"/>
        <w:jc w:val="both"/>
        <w:rPr>
          <w:color w:val="000000"/>
        </w:rPr>
      </w:pPr>
      <w:r>
        <w:rPr>
          <w:color w:val="000000"/>
        </w:rPr>
      </w:r>
    </w:p>
    <w:p>
      <w:pPr>
        <w:pStyle w:val="Normal"/>
        <w:jc w:val="both"/>
        <w:rPr/>
      </w:pPr>
      <w:r>
        <w:rPr>
          <w:color w:val="000000"/>
        </w:rPr>
        <w:t>On the “</w:t>
      </w:r>
      <w:r>
        <w:rPr>
          <w:b/>
          <w:color w:val="000000"/>
        </w:rPr>
        <w:t>Daily</w:t>
      </w:r>
      <w:r>
        <w:rPr>
          <w:color w:val="000000"/>
        </w:rPr>
        <w:t>” worksheet, numerous different possibilities are presented to the user:</w:t>
      </w:r>
    </w:p>
    <w:p>
      <w:pPr>
        <w:pStyle w:val="Normal"/>
        <w:numPr>
          <w:ilvl w:val="0"/>
          <w:numId w:val="3"/>
        </w:numPr>
        <w:jc w:val="both"/>
        <w:rPr>
          <w:color w:val="000000"/>
        </w:rPr>
      </w:pPr>
      <w:r>
        <w:rPr>
          <w:color w:val="000000"/>
        </w:rPr>
        <w:t>The user first needs to fetch the curves for the desired region (given in the “Power region” drop-down menu), and additionally decides whether to use a particular regional basis spread (in the “Power Basis” drop-down menu).</w:t>
      </w:r>
    </w:p>
    <w:p>
      <w:pPr>
        <w:pStyle w:val="Normal"/>
        <w:numPr>
          <w:ilvl w:val="0"/>
          <w:numId w:val="3"/>
        </w:numPr>
        <w:jc w:val="both"/>
        <w:rPr>
          <w:color w:val="000000"/>
        </w:rPr>
      </w:pPr>
      <w:r>
        <w:rPr>
          <w:color w:val="000000"/>
        </w:rPr>
        <w:t>Prices and volatilities obtained from the data may be overwritten. This may be done additively (by increasing prices/volatilities by adding particular increments to the given prices/volatilities), multiplicatively (by using a factor to change the given values), or simply by changing the values altogether. The override functions may be different for prices and volatilities, if so desired. These choices are made in the “Price Override” and “Vol Override” drop-down menus, respectively.</w:t>
      </w:r>
    </w:p>
    <w:p>
      <w:pPr>
        <w:pStyle w:val="Normal"/>
        <w:numPr>
          <w:ilvl w:val="0"/>
          <w:numId w:val="3"/>
        </w:numPr>
        <w:jc w:val="both"/>
        <w:rPr>
          <w:color w:val="000000"/>
        </w:rPr>
      </w:pPr>
      <w:r>
        <w:rPr>
          <w:color w:val="000000"/>
        </w:rPr>
        <w:t>The user may also modify the daily prices for the next thirty days, by inputting his/her own prices.</w:t>
      </w:r>
    </w:p>
    <w:p>
      <w:pPr>
        <w:pStyle w:val="Normal"/>
        <w:numPr>
          <w:ilvl w:val="0"/>
          <w:numId w:val="3"/>
        </w:numPr>
        <w:jc w:val="both"/>
        <w:rPr>
          <w:color w:val="000000"/>
        </w:rPr>
      </w:pPr>
      <w:r>
        <w:rPr>
          <w:color w:val="000000"/>
        </w:rPr>
        <w:t xml:space="preserve">For out-of-the-money puts and calls, the user should input some data that can then be used to fit skew curves. The at-the-money option volatilities should be input, followed by the incremental changes in volatility for progressively out-of-the-money options. For instance, if the volatility for an option expiring in a particular month is 75%, this value should be input in the Vol Skew Table. Suppose the user has data for call options that are 25%, 50% and 80% out-of-the-money, and put options that are 20% and 40% out-of-the-money. The positive and negative incremental changes in volatility may then also be put into the table in the appropriate cells (as percentages). </w:t>
      </w:r>
    </w:p>
    <w:p>
      <w:pPr>
        <w:pStyle w:val="Normal"/>
        <w:numPr>
          <w:ilvl w:val="0"/>
          <w:numId w:val="4"/>
        </w:numPr>
        <w:tabs>
          <w:tab w:val="left" w:pos="720" w:leader="none"/>
        </w:tabs>
        <w:ind w:hanging="360" w:start="720" w:end="0"/>
        <w:jc w:val="both"/>
        <w:rPr>
          <w:color w:val="000000"/>
        </w:rPr>
      </w:pPr>
      <w:r>
        <w:rPr>
          <w:color w:val="000000"/>
        </w:rPr>
        <w:t>For example, the volatility of an at-the-money call option with a strike of $70 is 75%, and the volatility for a call option with a strike of $87.50 is 105%. This means that the option is 25% out-of-the-money. This value would be put in at the top of the Vol Skew Table, and the incremental change in the volatility (+30%) would be put in the appropriate row in the table. Similarly, if a put option with a strike of $56.00 is 60%, it will be 20% out-of-the-money and its incremental change in volatility will be –15%.</w:t>
      </w:r>
    </w:p>
    <w:p>
      <w:pPr>
        <w:pStyle w:val="BodyTextIndent"/>
        <w:rPr>
          <w:color w:val="000000"/>
        </w:rPr>
      </w:pPr>
      <w:r>
        <w:rPr>
          <w:color w:val="000000"/>
        </w:rPr>
        <w:t>Note that the moneyness should be put into the Vol Skew Table in increasing order across the columns, without skipping any columns. Once all the values have been entered, pressing the “Fit Skew” button will fit skew curves to the data points for each of the months in the table.</w:t>
      </w:r>
    </w:p>
    <w:p>
      <w:pPr>
        <w:pStyle w:val="Normal"/>
        <w:numPr>
          <w:ilvl w:val="0"/>
          <w:numId w:val="3"/>
        </w:numPr>
        <w:jc w:val="both"/>
        <w:rPr>
          <w:color w:val="000000"/>
        </w:rPr>
      </w:pPr>
      <w:r>
        <w:rPr>
          <w:color w:val="000000"/>
        </w:rPr>
        <w:t>The user may choose whether the options being valued are “5 X 16” or “7 X 24” (according to the “Week Def.” drop-down menu).  Depending on user’s choice, prices and volatility are blended differently using time-weighted peak and off-peak prices and volatility.</w:t>
      </w:r>
    </w:p>
    <w:p>
      <w:pPr>
        <w:pStyle w:val="Normal"/>
        <w:numPr>
          <w:ilvl w:val="0"/>
          <w:numId w:val="3"/>
        </w:numPr>
        <w:jc w:val="both"/>
        <w:rPr>
          <w:color w:val="000000"/>
        </w:rPr>
      </w:pPr>
      <w:r>
        <w:rPr>
          <w:color w:val="000000"/>
        </w:rPr>
        <w:t xml:space="preserve">The driver for the model may be chosen to be either “Premium” or “Volatility”. </w:t>
      </w:r>
    </w:p>
    <w:p>
      <w:pPr>
        <w:pStyle w:val="Normal"/>
        <w:numPr>
          <w:ilvl w:val="0"/>
          <w:numId w:val="5"/>
        </w:numPr>
        <w:tabs>
          <w:tab w:val="left" w:pos="720" w:leader="none"/>
        </w:tabs>
        <w:ind w:hanging="360" w:start="720" w:end="0"/>
        <w:jc w:val="both"/>
        <w:rPr>
          <w:color w:val="000000"/>
        </w:rPr>
      </w:pPr>
      <w:r>
        <w:rPr>
          <w:color w:val="000000"/>
        </w:rPr>
        <w:t xml:space="preserve">If the driver is “Premium”, then the premium values to be used must be entered in the “Premium Input” column. </w:t>
      </w:r>
    </w:p>
    <w:p>
      <w:pPr>
        <w:pStyle w:val="Normal"/>
        <w:numPr>
          <w:ilvl w:val="0"/>
          <w:numId w:val="5"/>
        </w:numPr>
        <w:tabs>
          <w:tab w:val="left" w:pos="720" w:leader="none"/>
        </w:tabs>
        <w:ind w:hanging="360" w:start="720" w:end="0"/>
        <w:jc w:val="both"/>
        <w:rPr>
          <w:color w:val="000000"/>
        </w:rPr>
      </w:pPr>
      <w:r>
        <w:rPr>
          <w:color w:val="000000"/>
        </w:rPr>
        <w:t>If the driver is “Volatility”, then the model will first check to see if the relevant “Vol Input” box is checked. If it is, then that Input Volatility will be used. Otherwise, the appropriate volatility will be calculated for the month being considered by looking up that month’s volatility and adding a calculated skew from the fitted skew curve for that month.</w:t>
      </w:r>
    </w:p>
    <w:p>
      <w:pPr>
        <w:pStyle w:val="Normal"/>
        <w:numPr>
          <w:ilvl w:val="0"/>
          <w:numId w:val="3"/>
        </w:numPr>
        <w:jc w:val="both"/>
        <w:rPr>
          <w:color w:val="000000"/>
        </w:rPr>
      </w:pPr>
      <w:r>
        <w:rPr>
          <w:color w:val="000000"/>
        </w:rPr>
        <w:t>Other inputs that the user needs to make are to indicate:</w:t>
      </w:r>
    </w:p>
    <w:p>
      <w:pPr>
        <w:pStyle w:val="Normal"/>
        <w:numPr>
          <w:ilvl w:val="0"/>
          <w:numId w:val="2"/>
        </w:numPr>
        <w:tabs>
          <w:tab w:val="left" w:pos="720" w:leader="none"/>
        </w:tabs>
        <w:ind w:hanging="360" w:start="720" w:end="0"/>
        <w:jc w:val="both"/>
        <w:rPr>
          <w:color w:val="000000"/>
        </w:rPr>
      </w:pPr>
      <w:r>
        <w:rPr>
          <w:color w:val="000000"/>
        </w:rPr>
        <w:t>Whether a particular option was bought or sold;</w:t>
      </w:r>
    </w:p>
    <w:p>
      <w:pPr>
        <w:pStyle w:val="Normal"/>
        <w:numPr>
          <w:ilvl w:val="0"/>
          <w:numId w:val="2"/>
        </w:numPr>
        <w:tabs>
          <w:tab w:val="left" w:pos="720" w:leader="none"/>
        </w:tabs>
        <w:ind w:hanging="360" w:start="720" w:end="0"/>
        <w:jc w:val="both"/>
        <w:rPr>
          <w:color w:val="000000"/>
        </w:rPr>
      </w:pPr>
      <w:r>
        <w:rPr>
          <w:color w:val="000000"/>
        </w:rPr>
        <w:t>Whether the option was a put or a call;</w:t>
      </w:r>
    </w:p>
    <w:p>
      <w:pPr>
        <w:pStyle w:val="Normal"/>
        <w:numPr>
          <w:ilvl w:val="0"/>
          <w:numId w:val="2"/>
        </w:numPr>
        <w:tabs>
          <w:tab w:val="left" w:pos="720" w:leader="none"/>
        </w:tabs>
        <w:ind w:hanging="360" w:start="720" w:end="0"/>
        <w:jc w:val="both"/>
        <w:rPr>
          <w:color w:val="000000"/>
        </w:rPr>
      </w:pPr>
      <w:r>
        <w:rPr>
          <w:color w:val="000000"/>
        </w:rPr>
        <w:t>The start date and end date of the contract;</w:t>
      </w:r>
    </w:p>
    <w:p>
      <w:pPr>
        <w:pStyle w:val="Normal"/>
        <w:numPr>
          <w:ilvl w:val="0"/>
          <w:numId w:val="2"/>
        </w:numPr>
        <w:tabs>
          <w:tab w:val="left" w:pos="720" w:leader="none"/>
        </w:tabs>
        <w:ind w:hanging="360" w:start="720" w:end="0"/>
        <w:jc w:val="both"/>
        <w:rPr>
          <w:color w:val="000000"/>
        </w:rPr>
      </w:pPr>
      <w:r>
        <w:rPr>
          <w:color w:val="000000"/>
        </w:rPr>
        <w:t>Whether the contract is an option or the underlying;</w:t>
      </w:r>
    </w:p>
    <w:p>
      <w:pPr>
        <w:pStyle w:val="Normal"/>
        <w:numPr>
          <w:ilvl w:val="0"/>
          <w:numId w:val="2"/>
        </w:numPr>
        <w:tabs>
          <w:tab w:val="left" w:pos="720" w:leader="none"/>
        </w:tabs>
        <w:ind w:hanging="360" w:start="720" w:end="0"/>
        <w:jc w:val="both"/>
        <w:rPr>
          <w:color w:val="000000"/>
        </w:rPr>
      </w:pPr>
      <w:r>
        <w:rPr>
          <w:color w:val="000000"/>
        </w:rPr>
        <w:t>The expiration date of the contract;</w:t>
      </w:r>
    </w:p>
    <w:p>
      <w:pPr>
        <w:pStyle w:val="Normal"/>
        <w:numPr>
          <w:ilvl w:val="0"/>
          <w:numId w:val="2"/>
        </w:numPr>
        <w:tabs>
          <w:tab w:val="left" w:pos="720" w:leader="none"/>
        </w:tabs>
        <w:ind w:hanging="360" w:start="720" w:end="0"/>
        <w:jc w:val="both"/>
        <w:rPr>
          <w:color w:val="000000"/>
        </w:rPr>
      </w:pPr>
      <w:r>
        <w:rPr>
          <w:color w:val="000000"/>
        </w:rPr>
        <w:t>The volume for delivery (in MW); and</w:t>
      </w:r>
    </w:p>
    <w:p>
      <w:pPr>
        <w:pStyle w:val="Normal"/>
        <w:numPr>
          <w:ilvl w:val="0"/>
          <w:numId w:val="2"/>
        </w:numPr>
        <w:tabs>
          <w:tab w:val="left" w:pos="720" w:leader="none"/>
        </w:tabs>
        <w:ind w:hanging="360" w:start="720" w:end="0"/>
        <w:jc w:val="both"/>
        <w:rPr>
          <w:color w:val="000000"/>
        </w:rPr>
      </w:pPr>
      <w:r>
        <w:rPr>
          <w:color w:val="000000"/>
        </w:rPr>
        <w:t>The strike price used in the contract.</w:t>
      </w:r>
    </w:p>
    <w:p>
      <w:pPr>
        <w:pStyle w:val="Normal"/>
        <w:ind w:start="360" w:end="0"/>
        <w:jc w:val="both"/>
        <w:rPr>
          <w:color w:val="000000"/>
        </w:rPr>
      </w:pPr>
      <w:r>
        <w:rPr>
          <w:color w:val="000000"/>
        </w:rPr>
        <w:t>Note that options should be priced on a monthly basis only – no packages!</w:t>
      </w:r>
    </w:p>
    <w:p>
      <w:pPr>
        <w:pStyle w:val="Normal"/>
        <w:numPr>
          <w:ilvl w:val="0"/>
          <w:numId w:val="3"/>
        </w:numPr>
        <w:jc w:val="both"/>
        <w:rPr>
          <w:color w:val="000000"/>
        </w:rPr>
      </w:pPr>
      <w:r>
        <w:rPr>
          <w:color w:val="000000"/>
        </w:rPr>
        <w:t xml:space="preserve">The results are given for each contract, namely the value of the premium, the implied volatility, and the Greeks for the contract. A summary total of all the contracts is also shown. </w:t>
      </w:r>
    </w:p>
    <w:p>
      <w:pPr>
        <w:pStyle w:val="Normal"/>
        <w:jc w:val="both"/>
        <w:rPr>
          <w:color w:val="000000"/>
        </w:rPr>
      </w:pPr>
      <w:r>
        <w:rPr>
          <w:color w:val="000000"/>
        </w:rPr>
      </w:r>
    </w:p>
    <w:p>
      <w:pPr>
        <w:pStyle w:val="Normal"/>
        <w:jc w:val="both"/>
        <w:rPr/>
      </w:pPr>
      <w:r>
        <w:rPr>
          <w:color w:val="000000"/>
        </w:rPr>
        <w:t>On the “</w:t>
      </w:r>
      <w:r>
        <w:rPr>
          <w:b/>
          <w:color w:val="000000"/>
        </w:rPr>
        <w:t>Monthly</w:t>
      </w:r>
      <w:r>
        <w:rPr>
          <w:color w:val="000000"/>
        </w:rPr>
        <w:t>” worksheet, the user has the same choices as for the “Daily” worksheet, except that the curve fetching for the region of choice can only be done on the “Daily” worksheet. Obviously, there will not be any daily prices to change on the “Monthly” worksheet, so these columns are removed.</w:t>
      </w:r>
    </w:p>
    <w:p>
      <w:pPr>
        <w:pStyle w:val="Normal"/>
        <w:jc w:val="both"/>
        <w:rPr>
          <w:color w:val="000000"/>
        </w:rPr>
      </w:pPr>
      <w:r>
        <w:rPr>
          <w:color w:val="000000"/>
        </w:rPr>
      </w:r>
    </w:p>
    <w:p>
      <w:pPr>
        <w:pStyle w:val="Normal"/>
        <w:jc w:val="both"/>
        <w:rPr>
          <w:color w:val="000000"/>
        </w:rPr>
      </w:pPr>
      <w:r>
        <w:rPr>
          <w:color w:val="000000"/>
        </w:rPr>
        <w:t>It should be noted that the “Monthly” worksheet is able to price swaptions as well as options and the underlying. Also, the prices and volatilities in the “Monthly” worksheet may be different from those employed in the “Daily” worksheet.</w:t>
      </w:r>
    </w:p>
    <w:p>
      <w:pPr>
        <w:pStyle w:val="Normal"/>
        <w:jc w:val="both"/>
        <w:rPr>
          <w:color w:val="000000"/>
        </w:rPr>
      </w:pPr>
      <w:r>
        <w:rPr>
          <w:color w:val="000000"/>
        </w:rPr>
      </w:r>
    </w:p>
    <w:p>
      <w:pPr>
        <w:pStyle w:val="Normal"/>
        <w:jc w:val="both"/>
        <w:rPr>
          <w:color w:val="000000"/>
        </w:rPr>
      </w:pPr>
      <w:r>
        <w:rPr>
          <w:color w:val="000000"/>
        </w:rPr>
      </w:r>
    </w:p>
    <w:p>
      <w:pPr>
        <w:pStyle w:val="Normal"/>
        <w:jc w:val="both"/>
        <w:rPr/>
      </w:pPr>
      <w:r>
        <w:rPr>
          <w:color w:val="000000"/>
        </w:rPr>
        <w:t>Although the “Override” and “Calc” worksheets do not really need to be accessed, a brief description of each is given here. The “Override” worksheet figures out the correct logic to be employed in overriding the values obtained from the “Power Curves” worksheet. It is also used to calculate and store the coefficients of the polynomial associated with the curve fitting for the volatility skew calculations. The “Calc” worksheet is the one in which the actual calculations are performed to find the values of the premiums, implied volatilities and Greeks for the various contracts input on the front pages (“Dail</w:t>
      </w:r>
      <w:r>
        <w:rPr/>
        <w:t>y” and “Monthly”).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sz w:val="24"/>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jc w:val="both"/>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jc w:val="both"/>
    </w:pPr>
    <w:rPr>
      <w:color w:val="0000F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2001-03-29T20:23:00Z</dcterms:created>
  <dc:creator>Tom Barkley</dc:creator>
  <dc:description/>
  <dc:language>en-CA</dc:language>
  <cp:lastModifiedBy>ahuang2</cp:lastModifiedBy>
  <dcterms:modified xsi:type="dcterms:W3CDTF">2001-03-30T12:08:00Z</dcterms:modified>
  <cp:revision>3</cp:revision>
  <dc:subject/>
  <dc:title>POWER TRADING MODEL – DESCRIPTION</dc:title>
</cp:coreProperties>
</file>