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The Files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Mary Cilia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Accounting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Dabhol Deconsolidation Based on Participating Rights of Minority Shareholders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Text"/>
        <w:ind w:start="0" w:end="0"/>
        <w:rPr>
          <w:sz w:val="24"/>
        </w:rPr>
      </w:pPr>
      <w:r>
        <w:rPr>
          <w:sz w:val="24"/>
        </w:rPr>
        <w:t>The purpose of this memorandum is to document Enron’s position regarding the deconsolidation of the Dabhol project in the event Enron receive shares equal to its current contributions of approximately 65%.</w:t>
      </w:r>
    </w:p>
    <w:p>
      <w:pPr>
        <w:pStyle w:val="BodyText"/>
        <w:ind w:start="0" w:end="0"/>
        <w:rPr>
          <w:b/>
          <w:sz w:val="24"/>
          <w:u w:val="single"/>
        </w:rPr>
      </w:pPr>
      <w:r>
        <w:rPr>
          <w:b/>
          <w:sz w:val="24"/>
          <w:u w:val="single"/>
        </w:rPr>
        <w:t>Background</w:t>
      </w:r>
    </w:p>
    <w:p>
      <w:pPr>
        <w:pStyle w:val="BodyText"/>
        <w:ind w:start="0" w:end="0"/>
        <w:rPr>
          <w:sz w:val="24"/>
        </w:rPr>
      </w:pPr>
      <w:r>
        <w:rPr>
          <w:sz w:val="24"/>
        </w:rPr>
        <w:t>Dabhol Power Company is owned by Enron, Bechtel, General Electric Company and MSEB (the local Electricity Board in India).  The project was initiated with Enron contributing 80% of the equity contributions for Phase I of the project and GE and Bechtel with 10% each.  Enron gave MSEB a call option to purchase 30% of DPC.  The call option was in the form of two options, one that could be exercised for Phase I of the project and the other for Phase II of the project. MSEB exercised its option in Phase I and purchased 30% of DPC from Enron.  At the end of Phase I, the DPC ownership was Enron – 50%, MSEB – 30%, Bechtel – 10% and GE – 10%.  The Board also consisted of 10 members, 5 appointed by Enron, 3 appointed by MSEB, 1 appointed by Bechtel and 1 appointed by GE.  At the end of Phase I, shares had been issued to each of the members correspondent with their ownership percentage.</w:t>
      </w:r>
    </w:p>
    <w:p>
      <w:pPr>
        <w:pStyle w:val="BodyText"/>
        <w:ind w:start="0" w:end="0"/>
        <w:rPr>
          <w:sz w:val="24"/>
        </w:rPr>
      </w:pPr>
      <w:r>
        <w:rPr>
          <w:sz w:val="24"/>
        </w:rPr>
        <w:t xml:space="preserve">When Phase II commenced, Enron began making 80% of the equity contributions required with GE and Bechtel each making 10%, but no shares have been issued related to these contributions.  Therefore, Enron continues to have 50% of the shares issued and 50% representation on the Board.  Shares related to the Phase II contributions may be issued by a majority vote of the Board at any time, but must be issued by completion of Phase II, which includes the LNG facility.  </w:t>
      </w:r>
    </w:p>
    <w:p>
      <w:pPr>
        <w:pStyle w:val="BodyText"/>
        <w:ind w:start="0" w:end="0"/>
        <w:rPr>
          <w:sz w:val="24"/>
        </w:rPr>
      </w:pPr>
      <w:r>
        <w:rPr>
          <w:sz w:val="24"/>
        </w:rPr>
        <w:t xml:space="preserve">The Shareholders’ Agreement and the Articles of Association outline how the direction of Dabhol Power Company will be undertaken.  The DPC organization documents state that equity contributions are made in the form of members’ interests until such time as shares are issued.  The organization documents state that all votes and representatives on the board of the company are based on shares issued rather than members’ interests.  These documents also outline what actions may be taken with a majority vote and which would require a supermajority vote (80%).  </w:t>
      </w:r>
    </w:p>
    <w:p>
      <w:pPr>
        <w:pStyle w:val="BodyText"/>
        <w:ind w:start="0" w:end="0"/>
        <w:rPr>
          <w:sz w:val="24"/>
        </w:rPr>
      </w:pPr>
      <w:r>
        <w:rPr>
          <w:sz w:val="24"/>
        </w:rPr>
        <w:t>Dabhol Power Company has not received payment from the MSEB for its December 2000 and January 2001 bills and has filed for arbitration regarding the disputes between the MSEB and Dabhol Power Company over these billings.  Given the uncertain state of completion of Phase II, Enron is not certain at what point in time the additional 15% of shares (which would also result in 65% representation on the Board) due Enron will actually be issued.  Therefore, we have reviewed the accounting consequences related to the issuance of the additional shares and documented our findings below.</w:t>
      </w:r>
      <w:r>
        <w:br w:type="page"/>
      </w:r>
    </w:p>
    <w:p>
      <w:pPr>
        <w:pStyle w:val="BodyText"/>
        <w:ind w:start="0" w:end="0"/>
        <w:rPr>
          <w:b/>
          <w:sz w:val="24"/>
          <w:u w:val="single"/>
        </w:rPr>
      </w:pPr>
      <w:r>
        <w:rPr>
          <w:b/>
          <w:sz w:val="24"/>
          <w:u w:val="single"/>
        </w:rPr>
        <w:t>Issue</w:t>
      </w:r>
    </w:p>
    <w:p>
      <w:pPr>
        <w:pStyle w:val="BodyText"/>
        <w:ind w:start="0" w:end="0"/>
        <w:rPr>
          <w:sz w:val="24"/>
        </w:rPr>
      </w:pPr>
      <w:r>
        <w:rPr>
          <w:sz w:val="24"/>
        </w:rPr>
        <w:t>Given the various voting provisions provided for in the Articles of Association and the Shareholders’ Agreement and the varying levels of approval required, would Enron have a controlling financial interest in the Dabhol project that would require consolidation subsequent to the issuance of the additional shares which would result in an effective 65% voting interest?</w:t>
      </w:r>
    </w:p>
    <w:p>
      <w:pPr>
        <w:pStyle w:val="BodyText"/>
        <w:ind w:start="0" w:end="0"/>
        <w:rPr>
          <w:b/>
          <w:sz w:val="24"/>
          <w:u w:val="single"/>
        </w:rPr>
      </w:pPr>
      <w:r>
        <w:rPr>
          <w:b/>
          <w:sz w:val="24"/>
          <w:u w:val="single"/>
        </w:rPr>
        <w:t>Authoritative Literature</w:t>
      </w:r>
    </w:p>
    <w:p>
      <w:pPr>
        <w:pStyle w:val="BodyText"/>
        <w:ind w:start="0" w:end="0"/>
        <w:rPr>
          <w:sz w:val="24"/>
        </w:rPr>
      </w:pPr>
      <w:r>
        <w:rPr>
          <w:sz w:val="24"/>
        </w:rPr>
        <w:t>Accounting Research Bulletin No. 51, “Consolidated Financial Statements”</w:t>
      </w:r>
    </w:p>
    <w:p>
      <w:pPr>
        <w:pStyle w:val="BodyText"/>
        <w:ind w:start="0" w:end="0"/>
        <w:rPr>
          <w:sz w:val="24"/>
        </w:rPr>
      </w:pPr>
      <w:r>
        <w:rPr>
          <w:sz w:val="24"/>
        </w:rPr>
        <w:t>SFAS No. 94, “Consolidation of all Majority-Owned Subsidiaries”</w:t>
      </w:r>
    </w:p>
    <w:p>
      <w:pPr>
        <w:pStyle w:val="BodyText"/>
        <w:ind w:start="0" w:end="0"/>
        <w:rPr>
          <w:sz w:val="24"/>
        </w:rPr>
      </w:pPr>
      <w:r>
        <w:rPr>
          <w:sz w:val="24"/>
        </w:rPr>
        <w:t>APB Opinion No. 18, “The Equity Method of Accounting for Investments in Common Stock”</w:t>
      </w:r>
    </w:p>
    <w:p>
      <w:pPr>
        <w:pStyle w:val="BodyText"/>
        <w:ind w:start="0" w:end="0"/>
        <w:rPr>
          <w:sz w:val="24"/>
        </w:rPr>
      </w:pPr>
      <w:r>
        <w:rPr>
          <w:sz w:val="24"/>
        </w:rPr>
        <w:t>EITF 96-16, “Investor’s Accounting for an Investee when the Investor has a Majority of the Voting Interest but the Minority Shareholder or Shareholders Have Certain Approval or Veto Rights”</w:t>
      </w:r>
    </w:p>
    <w:p>
      <w:pPr>
        <w:pStyle w:val="BodyText"/>
        <w:ind w:start="0" w:end="0"/>
        <w:rPr>
          <w:sz w:val="24"/>
        </w:rPr>
      </w:pPr>
      <w:r>
        <w:rPr>
          <w:b/>
          <w:sz w:val="24"/>
          <w:u w:val="single"/>
        </w:rPr>
        <w:t>Discussion</w:t>
      </w:r>
    </w:p>
    <w:p>
      <w:pPr>
        <w:pStyle w:val="Normal"/>
        <w:rPr/>
      </w:pPr>
      <w:r>
        <w:rPr/>
        <w:t>Under the Articles of Association (Section 12.1) and the Shareholders’ Agreement (Section 2.3), majority</w:t>
      </w:r>
      <w:r>
        <w:rPr>
          <w:b/>
          <w:bCs/>
        </w:rPr>
        <w:t xml:space="preserve"> consent</w:t>
      </w:r>
      <w:r>
        <w:rPr/>
        <w:t xml:space="preserve"> is needed for the following:</w:t>
      </w:r>
    </w:p>
    <w:p>
      <w:pPr>
        <w:pStyle w:val="Normal"/>
        <w:rPr/>
      </w:pPr>
      <w:r>
        <w:rPr/>
      </w:r>
    </w:p>
    <w:p>
      <w:pPr>
        <w:pStyle w:val="Normal"/>
        <w:numPr>
          <w:ilvl w:val="0"/>
          <w:numId w:val="3"/>
        </w:numPr>
        <w:rPr/>
      </w:pPr>
      <w:r>
        <w:rPr/>
        <w:t>Appointing or terminating and setting compensation for the managing director, project manager and other employees and agents</w:t>
      </w:r>
    </w:p>
    <w:p>
      <w:pPr>
        <w:pStyle w:val="Normal"/>
        <w:numPr>
          <w:ilvl w:val="0"/>
          <w:numId w:val="3"/>
        </w:numPr>
        <w:rPr/>
      </w:pPr>
      <w:r>
        <w:rPr/>
        <w:t>Determining the authority and duties of the managing director, project manager and other employees and agents including regarding the day-to-day operation of the Company’s business and exercising the Company’s rights and obligations under the Project Contracts and the Financing Agreements</w:t>
      </w:r>
    </w:p>
    <w:p>
      <w:pPr>
        <w:pStyle w:val="Normal"/>
        <w:numPr>
          <w:ilvl w:val="0"/>
          <w:numId w:val="3"/>
        </w:numPr>
        <w:rPr/>
      </w:pPr>
      <w:r>
        <w:rPr/>
        <w:t>Establishing tax and accounting policies and approving the annual report and accounts</w:t>
      </w:r>
    </w:p>
    <w:p>
      <w:pPr>
        <w:pStyle w:val="Normal"/>
        <w:numPr>
          <w:ilvl w:val="0"/>
          <w:numId w:val="3"/>
        </w:numPr>
        <w:rPr/>
      </w:pPr>
      <w:r>
        <w:rPr/>
        <w:t>Disposing of equipment less than Rs 640 million, fuel and third party securities and notes</w:t>
      </w:r>
    </w:p>
    <w:p>
      <w:pPr>
        <w:pStyle w:val="Normal"/>
        <w:numPr>
          <w:ilvl w:val="0"/>
          <w:numId w:val="3"/>
        </w:numPr>
        <w:rPr/>
      </w:pPr>
      <w:r>
        <w:rPr/>
        <w:t>Entering into contracts</w:t>
      </w:r>
    </w:p>
    <w:p>
      <w:pPr>
        <w:pStyle w:val="Normal"/>
        <w:numPr>
          <w:ilvl w:val="0"/>
          <w:numId w:val="3"/>
        </w:numPr>
        <w:rPr/>
      </w:pPr>
      <w:r>
        <w:rPr/>
        <w:t>Establishing director’s fees</w:t>
      </w:r>
    </w:p>
    <w:p>
      <w:pPr>
        <w:pStyle w:val="Normal"/>
        <w:rPr/>
      </w:pPr>
      <w:r>
        <w:rPr/>
      </w:r>
    </w:p>
    <w:p>
      <w:pPr>
        <w:pStyle w:val="Normal"/>
        <w:rPr/>
      </w:pPr>
      <w:r>
        <w:rPr/>
        <w:t>Under the Shareholders’ Agreement (Section 2.3) and the Articles of Association (Sections 9.2 and 9.3), supermajority</w:t>
      </w:r>
      <w:r>
        <w:rPr>
          <w:b/>
          <w:bCs/>
        </w:rPr>
        <w:t xml:space="preserve"> consent </w:t>
      </w:r>
      <w:r>
        <w:rPr/>
        <w:t>is needed for the following:</w:t>
      </w:r>
    </w:p>
    <w:p>
      <w:pPr>
        <w:pStyle w:val="Normal"/>
        <w:rPr/>
      </w:pPr>
      <w:r>
        <w:rPr/>
      </w:r>
    </w:p>
    <w:p>
      <w:pPr>
        <w:pStyle w:val="Normal"/>
        <w:numPr>
          <w:ilvl w:val="0"/>
          <w:numId w:val="4"/>
        </w:numPr>
        <w:rPr/>
      </w:pPr>
      <w:r>
        <w:rPr/>
        <w:t>Certain amendments to the organizational documents</w:t>
      </w:r>
    </w:p>
    <w:p>
      <w:pPr>
        <w:pStyle w:val="Normal"/>
        <w:numPr>
          <w:ilvl w:val="0"/>
          <w:numId w:val="4"/>
        </w:numPr>
        <w:rPr/>
      </w:pPr>
      <w:r>
        <w:rPr/>
        <w:t>Selling and disposing of assets greater than Rs 640 million or encumbering assets</w:t>
      </w:r>
    </w:p>
    <w:p>
      <w:pPr>
        <w:pStyle w:val="Normal"/>
        <w:numPr>
          <w:ilvl w:val="0"/>
          <w:numId w:val="4"/>
        </w:numPr>
        <w:rPr/>
      </w:pPr>
      <w:r>
        <w:rPr/>
        <w:t>Winding up the company</w:t>
      </w:r>
    </w:p>
    <w:p>
      <w:pPr>
        <w:pStyle w:val="Normal"/>
        <w:numPr>
          <w:ilvl w:val="0"/>
          <w:numId w:val="4"/>
        </w:numPr>
        <w:rPr/>
      </w:pPr>
      <w:r>
        <w:rPr/>
        <w:t>Setting the amounts of dividends</w:t>
      </w:r>
    </w:p>
    <w:p>
      <w:pPr>
        <w:pStyle w:val="Normal"/>
        <w:numPr>
          <w:ilvl w:val="0"/>
          <w:numId w:val="4"/>
        </w:numPr>
        <w:rPr/>
      </w:pPr>
      <w:r>
        <w:rPr/>
        <w:t>Prepaying debt greater than Rs 320 million</w:t>
      </w:r>
    </w:p>
    <w:p>
      <w:pPr>
        <w:pStyle w:val="Normal"/>
        <w:numPr>
          <w:ilvl w:val="0"/>
          <w:numId w:val="4"/>
        </w:numPr>
        <w:rPr/>
      </w:pPr>
      <w:r>
        <w:rPr/>
        <w:t>Entering into, modifying, supplementing, declaring a default, exercising a remedy under or terminating any project contract, financing agreement or equity subscription agreements</w:t>
      </w:r>
    </w:p>
    <w:p>
      <w:pPr>
        <w:pStyle w:val="Normal"/>
        <w:numPr>
          <w:ilvl w:val="0"/>
          <w:numId w:val="4"/>
        </w:numPr>
        <w:rPr/>
      </w:pPr>
      <w:r>
        <w:rPr/>
        <w:t>Settling claims, litigation or arbitration greater than Rs 320 million</w:t>
      </w:r>
    </w:p>
    <w:p>
      <w:pPr>
        <w:pStyle w:val="Normal"/>
        <w:numPr>
          <w:ilvl w:val="0"/>
          <w:numId w:val="4"/>
        </w:numPr>
        <w:rPr/>
      </w:pPr>
      <w:r>
        <w:rPr/>
        <w:t>Amending the Shareholders Agreement or Articles of Association</w:t>
      </w:r>
    </w:p>
    <w:p>
      <w:pPr>
        <w:pStyle w:val="Normal"/>
        <w:numPr>
          <w:ilvl w:val="0"/>
          <w:numId w:val="4"/>
        </w:numPr>
        <w:rPr/>
      </w:pPr>
      <w:r>
        <w:rPr/>
        <w:t>Issuing new shares other than contemplated in the Equity Subscription Agreements greater than Rs 320 million</w:t>
      </w:r>
    </w:p>
    <w:p>
      <w:pPr>
        <w:pStyle w:val="Normal"/>
        <w:numPr>
          <w:ilvl w:val="0"/>
          <w:numId w:val="4"/>
        </w:numPr>
        <w:rPr/>
      </w:pPr>
      <w:r>
        <w:rPr/>
        <w:t>Borrowings greater than Rs 320 million</w:t>
      </w:r>
    </w:p>
    <w:p>
      <w:pPr>
        <w:pStyle w:val="Normal"/>
        <w:numPr>
          <w:ilvl w:val="0"/>
          <w:numId w:val="4"/>
        </w:numPr>
        <w:rPr/>
      </w:pPr>
      <w:r>
        <w:rPr/>
        <w:t>Approving, amending, modifying or supplementing the annual budget</w:t>
      </w:r>
    </w:p>
    <w:p>
      <w:pPr>
        <w:pStyle w:val="Normal"/>
        <w:numPr>
          <w:ilvl w:val="0"/>
          <w:numId w:val="4"/>
        </w:numPr>
        <w:rPr/>
      </w:pPr>
      <w:r>
        <w:rPr/>
        <w:t>Refinancing debt</w:t>
      </w:r>
    </w:p>
    <w:p>
      <w:pPr>
        <w:pStyle w:val="Normal"/>
        <w:rPr/>
      </w:pPr>
      <w:r>
        <w:rPr/>
      </w:r>
    </w:p>
    <w:p>
      <w:pPr>
        <w:pStyle w:val="BodyText"/>
        <w:ind w:start="0" w:end="0"/>
        <w:rPr>
          <w:sz w:val="24"/>
        </w:rPr>
      </w:pPr>
      <w:r>
        <w:rPr>
          <w:sz w:val="24"/>
        </w:rPr>
        <w:t>EITF 96-16 addresses the issue when a majority shareholder is deemed not to control an entity due to significant participating rights granted to the minority shareholders.  The EITF reached a consensus that facts and circumstances should be judged to determine if the minority shareholder has the right to effectively participate in significant decisions that would be expected to be made in “the ordinary course of business.”  Effective participation means the ability to block significant decisions proposed by the investor who has a majority voting interest.  These “participating rights” are in contrast to “protective rights” which are only protective in nature and would not overcome the presumption of control by the majority shareholder.</w:t>
      </w:r>
    </w:p>
    <w:p>
      <w:pPr>
        <w:pStyle w:val="BodyText"/>
        <w:ind w:start="0" w:end="0"/>
        <w:rPr>
          <w:sz w:val="24"/>
        </w:rPr>
      </w:pPr>
      <w:r>
        <w:rPr>
          <w:sz w:val="24"/>
        </w:rPr>
        <w:t>The Task Force identified the following examples of protective versus participating rights:</w:t>
      </w:r>
    </w:p>
    <w:p>
      <w:pPr>
        <w:pStyle w:val="BodyText"/>
        <w:ind w:start="0" w:end="0"/>
        <w:rPr>
          <w:sz w:val="24"/>
          <w:u w:val="single"/>
        </w:rPr>
      </w:pPr>
      <w:r>
        <w:rPr>
          <w:sz w:val="24"/>
          <w:u w:val="single"/>
        </w:rPr>
        <w:t>Protective Rights:</w:t>
      </w:r>
    </w:p>
    <w:p>
      <w:pPr>
        <w:pStyle w:val="BodyText"/>
        <w:numPr>
          <w:ilvl w:val="0"/>
          <w:numId w:val="5"/>
        </w:numPr>
        <w:rPr>
          <w:sz w:val="24"/>
        </w:rPr>
      </w:pPr>
      <w:r>
        <w:rPr>
          <w:sz w:val="24"/>
        </w:rPr>
        <w:t>Amendments to articles of incorporation of the investee</w:t>
      </w:r>
    </w:p>
    <w:p>
      <w:pPr>
        <w:pStyle w:val="BodyText"/>
        <w:numPr>
          <w:ilvl w:val="0"/>
          <w:numId w:val="5"/>
        </w:numPr>
        <w:rPr>
          <w:sz w:val="24"/>
        </w:rPr>
      </w:pPr>
      <w:r>
        <w:rPr>
          <w:sz w:val="24"/>
        </w:rPr>
        <w:t>Pricing on transactions between the owner of a majority voting interest and the investee and related self-dealing transactions</w:t>
      </w:r>
    </w:p>
    <w:p>
      <w:pPr>
        <w:pStyle w:val="BodyText"/>
        <w:numPr>
          <w:ilvl w:val="0"/>
          <w:numId w:val="5"/>
        </w:numPr>
        <w:rPr>
          <w:sz w:val="24"/>
        </w:rPr>
      </w:pPr>
      <w:r>
        <w:rPr>
          <w:sz w:val="24"/>
        </w:rPr>
        <w:t>Liquidation, bankruptcy or other receivership of the investee</w:t>
      </w:r>
    </w:p>
    <w:p>
      <w:pPr>
        <w:pStyle w:val="BodyText"/>
        <w:numPr>
          <w:ilvl w:val="0"/>
          <w:numId w:val="5"/>
        </w:numPr>
        <w:rPr>
          <w:sz w:val="24"/>
        </w:rPr>
      </w:pPr>
      <w:r>
        <w:rPr>
          <w:sz w:val="24"/>
        </w:rPr>
        <w:t>Acquisitions and dispositions greater than 20% of the fair value of the investee’s total assets</w:t>
      </w:r>
    </w:p>
    <w:p>
      <w:pPr>
        <w:pStyle w:val="BodyText"/>
        <w:numPr>
          <w:ilvl w:val="0"/>
          <w:numId w:val="5"/>
        </w:numPr>
        <w:rPr>
          <w:sz w:val="24"/>
        </w:rPr>
      </w:pPr>
      <w:r>
        <w:rPr>
          <w:sz w:val="24"/>
        </w:rPr>
        <w:t>Issuance or repurchase of equity interests</w:t>
      </w:r>
    </w:p>
    <w:p>
      <w:pPr>
        <w:pStyle w:val="BodyText"/>
        <w:ind w:start="0" w:end="0"/>
        <w:rPr>
          <w:sz w:val="24"/>
          <w:u w:val="single"/>
        </w:rPr>
      </w:pPr>
      <w:r>
        <w:rPr>
          <w:sz w:val="24"/>
          <w:u w:val="single"/>
        </w:rPr>
        <w:t>Participating Rights:</w:t>
      </w:r>
    </w:p>
    <w:p>
      <w:pPr>
        <w:pStyle w:val="BodyText"/>
        <w:numPr>
          <w:ilvl w:val="0"/>
          <w:numId w:val="2"/>
        </w:numPr>
        <w:rPr>
          <w:sz w:val="24"/>
          <w:u w:val="single"/>
        </w:rPr>
      </w:pPr>
      <w:r>
        <w:rPr>
          <w:sz w:val="24"/>
        </w:rPr>
        <w:t>Selecting, terminating and setting compensation for management responsible for implementing the investee’s policies and procedures</w:t>
      </w:r>
    </w:p>
    <w:p>
      <w:pPr>
        <w:pStyle w:val="BodyText"/>
        <w:numPr>
          <w:ilvl w:val="0"/>
          <w:numId w:val="2"/>
        </w:numPr>
        <w:rPr>
          <w:sz w:val="24"/>
          <w:u w:val="single"/>
        </w:rPr>
      </w:pPr>
      <w:r>
        <w:rPr>
          <w:sz w:val="24"/>
        </w:rPr>
        <w:t>Establishing operating and capital decisions of the investee, including budgets, in the ordinary course of business</w:t>
      </w:r>
    </w:p>
    <w:p>
      <w:pPr>
        <w:pStyle w:val="BodyText"/>
        <w:ind w:start="0" w:end="0"/>
        <w:rPr>
          <w:sz w:val="24"/>
        </w:rPr>
      </w:pPr>
      <w:r>
        <w:rPr>
          <w:sz w:val="24"/>
        </w:rPr>
        <w:t>The Task Force considered the above examples to be illustrative, but not all-inclusive and believed that the important factor is that participating rights allow the minority shareholder to effectively participate in decisions that occur as part of the ordinary course of the investee’s business and are significant factors in directing and carrying out the activities of the business.  The first example listed above requires only a majority consent and therefore Enron could have the ability to control this with a 65% vote.  The second item listed above requires a supermajority consent and Enron would not have the ability to control this with a 65% vote.  We believe that management compensation would be a function of the budgets that must be approved with a supermajority consent and therefore also could not be effectively controlled by Enron.  Additionally, supermajority consents are needed for acquisitions that are greater than 640 million rupees (approximately $14 million) which equates to less than 1% of the fair market value of the project.  Enron also cannot enter into, modify or terminate any of the project documents or financing documents that are at the very heart of the day-to-day operations of the plant.  We believe that all of the decisions that are significant factors in directing and carrying out the activities of the business are subject to supermajority consent.  Although the majority consent items appear to give a lot of rights to the majority shareholder, the supermajority consent requirements override almost all of these rights.</w:t>
      </w:r>
      <w:r>
        <w:br w:type="page"/>
      </w:r>
    </w:p>
    <w:p>
      <w:pPr>
        <w:pStyle w:val="BodyText"/>
        <w:ind w:start="0" w:end="0"/>
        <w:rPr>
          <w:sz w:val="24"/>
        </w:rPr>
      </w:pPr>
      <w:r>
        <w:rPr>
          <w:sz w:val="24"/>
        </w:rPr>
        <w:t>Given our position above, Arthur Andersen still believes that the items requiring a supermajority consent are not necessarily participating in nature and could be deemed to be protective.  Arthur Andersen has agreed that if Enron were to enter into a legally binding side letter with GE and Bechtel waiving our majority consent rights and agreeing to vote as a block in such matters such that Enron could effectively only control 50% of the vote, then Enron would be deemed not to control Dabhol Power company and would therefore not consolidate the entity.</w:t>
      </w:r>
    </w:p>
    <w:p>
      <w:pPr>
        <w:pStyle w:val="BodyText"/>
        <w:ind w:start="0" w:end="0"/>
        <w:rPr>
          <w:sz w:val="24"/>
        </w:rPr>
      </w:pPr>
      <w:r>
        <w:rPr>
          <w:sz w:val="24"/>
        </w:rPr>
        <w:t xml:space="preserve">The Shareholder’s Agreement and the Articles of Association refer to certain issues that would require an ultramajority vote (90%).  If however, Enron takes a certain position on these issues and Enron’s position is not approved, Enron can require a second vote.  If there are still dissenting shareholders, these shareholders must sell their shares to Enron and Enron must buy these shares.  We have reviewed each of the issues requiring an ultramajority vote and have determined them to be protective rights under EITF 96-16 which do not indicate additional control.   </w:t>
      </w:r>
    </w:p>
    <w:p>
      <w:pPr>
        <w:pStyle w:val="BodyText"/>
        <w:ind w:start="0" w:end="0"/>
        <w:rPr>
          <w:b/>
          <w:sz w:val="24"/>
          <w:u w:val="single"/>
        </w:rPr>
      </w:pPr>
      <w:r>
        <w:rPr>
          <w:b/>
          <w:sz w:val="24"/>
          <w:u w:val="single"/>
        </w:rPr>
        <w:t>Conclusion</w:t>
      </w:r>
    </w:p>
    <w:p>
      <w:pPr>
        <w:pStyle w:val="BodyText"/>
        <w:ind w:start="0" w:end="0"/>
        <w:rPr>
          <w:sz w:val="24"/>
        </w:rPr>
      </w:pPr>
      <w:r>
        <w:rPr>
          <w:sz w:val="24"/>
        </w:rPr>
        <w:t>Based on the above facts, Arthur Andersen has agreed, subject to review of the side letter and confirmation of its binding nature, that Enron would not be required to consolidate Dabhol Power Company if Enron were to receive shares that would result in Enron owning 65% of the shares outstanding if Enron executed a side agreement with GE and Bechtel waiving our majority consent rights.</w:t>
      </w:r>
    </w:p>
    <w:p>
      <w:pPr>
        <w:pStyle w:val="BodyText"/>
        <w:ind w:start="0" w:end="0"/>
        <w:rPr>
          <w:sz w:val="24"/>
        </w:rPr>
      </w:pPr>
      <w:r>
        <w:rPr>
          <w:sz w:val="24"/>
        </w:rPr>
        <w:t>Mike Jones and Dave Duncan of Arthur Andersen have concurred with this position.</w:t>
      </w:r>
    </w:p>
    <w:p>
      <w:pPr>
        <w:pStyle w:val="Normal"/>
        <w:rPr/>
      </w:pPr>
      <w:r>
        <w:rPr/>
        <w:t>c:</w:t>
        <w:tab/>
        <w:t>Rick Causey</w:t>
      </w:r>
    </w:p>
    <w:p>
      <w:pPr>
        <w:pStyle w:val="Normal"/>
        <w:rPr/>
      </w:pPr>
      <w:r>
        <w:rPr/>
        <w:tab/>
        <w:t>Bob Butts</w:t>
      </w:r>
    </w:p>
    <w:p>
      <w:pPr>
        <w:pStyle w:val="Normal"/>
        <w:rPr/>
      </w:pPr>
      <w:r>
        <w:rPr/>
        <w:tab/>
        <w:t>Wes Colwell</w:t>
      </w:r>
    </w:p>
    <w:p>
      <w:pPr>
        <w:pStyle w:val="Normal"/>
        <w:rPr/>
      </w:pPr>
      <w:r>
        <w:rPr/>
        <w:tab/>
        <w:t>Rodney Faldyn</w:t>
      </w:r>
    </w:p>
    <w:p>
      <w:pPr>
        <w:pStyle w:val="Normal"/>
        <w:rPr/>
      </w:pPr>
      <w:r>
        <w:rPr/>
        <w:tab/>
        <w:t>Jeff Sommers</w:t>
      </w:r>
    </w:p>
    <w:p>
      <w:pPr>
        <w:pStyle w:val="Normal"/>
        <w:rPr/>
      </w:pPr>
      <w:r>
        <w:rPr/>
        <w:tab/>
        <w:t>Carol Howes</w:t>
        <w:tab/>
      </w:r>
    </w:p>
    <w:p>
      <w:pPr>
        <w:pStyle w:val="Normal"/>
        <w:rPr/>
      </w:pPr>
      <w:r>
        <w:rPr/>
      </w:r>
    </w:p>
    <w:p>
      <w:pPr>
        <w:pStyle w:val="CopyLis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Arial"/>
      </w:rPr>
      <w:t xml:space="preserve">   </w:t>
    </w:r>
    <w:r>
      <w:rPr/>
      <w:tab/>
    </w:r>
    <w:r>
      <w:rPr/>
      <w:fldChar w:fldCharType="begin"/>
    </w:r>
    <w:r>
      <w:rPr/>
      <w:instrText xml:space="preserve"> DATE \@"M/d/yyyy" </w:instrText>
    </w:r>
    <w:r>
      <w:rPr/>
      <w:fldChar w:fldCharType="separate"/>
    </w:r>
    <w:r>
      <w:rPr/>
      <w:t>9/28/2025</w:t>
    </w:r>
    <w:r>
      <w:rPr/>
      <w:fldChar w:fldCharType="end"/>
    </w:r>
    <w:r>
      <w:rPr/>
      <w:t xml:space="preserve">    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overflowPunct w:val="true"/>
      <w:autoSpaceDE w:val="true"/>
      <w:spacing w:lineRule="atLeast" w:line="180" w:before="0" w:after="220"/>
      <w:ind w:hanging="0" w:start="835" w:end="0"/>
      <w:textAlignment w:val="auto"/>
    </w:pPr>
    <w:rPr>
      <w:spacing w:val="-5"/>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overflowPunct w:val="true"/>
      <w:autoSpaceDE w:val="true"/>
      <w:ind w:firstLine="540" w:start="180" w:end="0"/>
      <w:textAlignment w:val="auto"/>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574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2001-05-16T15:26:00Z</dcterms:created>
  <dc:creator>mcilia</dc:creator>
  <dc:description/>
  <dc:language>en-CA</dc:language>
  <cp:lastModifiedBy>mcilia</cp:lastModifiedBy>
  <cp:lastPrinted>2001-05-22T19:28:00Z</cp:lastPrinted>
  <dcterms:modified xsi:type="dcterms:W3CDTF">2001-05-22T21:59:00Z</dcterms:modified>
  <cp:revision>17</cp:revision>
  <dc:subject/>
  <dc:title>Better, Faster, Simpler Memo </dc:title>
</cp:coreProperties>
</file>