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b w:val="false"/>
          <w:bCs w:val="false"/>
          <w:u w:val="none"/>
        </w:rPr>
        <w:tab/>
        <w:tab/>
        <w:tab/>
      </w:r>
      <w:r>
        <w:rPr>
          <w:u w:val="none"/>
        </w:rPr>
        <w:t>For Internal Use - Only Used if Asked</w:t>
      </w:r>
    </w:p>
    <w:p>
      <w:pPr>
        <w:pStyle w:val="BodyText"/>
        <w:rPr>
          <w:u w:val="none"/>
        </w:rPr>
      </w:pPr>
      <w:r>
        <w:rPr>
          <w:u w:val="none"/>
        </w:rPr>
      </w:r>
    </w:p>
    <w:p>
      <w:pPr>
        <w:pStyle w:val="BodyText3"/>
        <w:rPr/>
      </w:pPr>
      <w:r>
        <w:rPr/>
      </w:r>
    </w:p>
    <w:p>
      <w:pPr>
        <w:pStyle w:val="BodyText3"/>
        <w:ind w:start="720" w:end="0"/>
        <w:jc w:val="both"/>
        <w:rPr>
          <w:u w:val="single"/>
        </w:rPr>
      </w:pPr>
      <w:r>
        <w:rPr>
          <w:u w:val="single"/>
        </w:rPr>
        <w:t xml:space="preserve">RESPONSE TO INQUIRIES RE ENRON’S DESIRE TO SELL ITS STAKE IN DABHOL POWER COMPANY – KEN LAY INTERVIEW BY FINANCIAL TIMES </w:t>
      </w:r>
    </w:p>
    <w:p>
      <w:pPr>
        <w:pStyle w:val="BodyText3"/>
        <w:jc w:val="both"/>
        <w:rPr>
          <w:b w:val="false"/>
          <w:bCs w:val="false"/>
          <w:u w:val="single"/>
        </w:rPr>
      </w:pPr>
      <w:r>
        <w:rPr>
          <w:b w:val="false"/>
          <w:bCs w:val="false"/>
          <w:u w:val="single"/>
        </w:rPr>
      </w:r>
    </w:p>
    <w:p>
      <w:pPr>
        <w:pStyle w:val="BodyText3"/>
        <w:jc w:val="both"/>
        <w:rPr>
          <w:b w:val="false"/>
          <w:bCs w:val="false"/>
          <w:u w:val="single"/>
        </w:rPr>
      </w:pPr>
      <w:r>
        <w:rPr>
          <w:b w:val="false"/>
          <w:bCs w:val="false"/>
          <w:u w:val="single"/>
        </w:rPr>
      </w:r>
    </w:p>
    <w:p>
      <w:pPr>
        <w:pStyle w:val="Normal"/>
        <w:spacing w:lineRule="auto" w:line="360"/>
        <w:jc w:val="both"/>
        <w:rPr/>
      </w:pPr>
      <w:r>
        <w:rPr/>
        <w:t>As the largest investor in the Dabhol Power Company (DPC), Enron believes that selling its interest either to the GoI or to the project’s lenders is the best approach to resolve the protracted dispute between DPC and MSEB/GoM. Of course, any sale would need to be on terms providing a complete recovery of capital costs and related expenditures. The Dabhol issue is clearly having an adverse affect on the confidence of potential foreign investors to India. Pursuing a buyout option could help resolve the dispute in a timely manner protecting India’s investment climate and interests of DPC’s stakeholders.</w:t>
      </w:r>
    </w:p>
    <w:p>
      <w:pPr>
        <w:pStyle w:val="Normal"/>
        <w:spacing w:lineRule="auto" w:line="360"/>
        <w:jc w:val="both"/>
        <w:rPr/>
      </w:pPr>
      <w:r>
        <w:rPr/>
      </w:r>
    </w:p>
    <w:p>
      <w:pPr>
        <w:pStyle w:val="Normal"/>
        <w:spacing w:lineRule="auto" w:line="360"/>
        <w:jc w:val="both"/>
        <w:rPr/>
      </w:pPr>
      <w:r>
        <w:rPr/>
        <w:t xml:space="preserve">The failure to reform the power sector in India makes it extremely difficult for an outside generator to operate effectively.  In particular, the problems with the power sector in Maharashtra have recently been highlighted by the second report of the Godbole committee.  In the interim, while DPC remains open to discussing other viable solutions that are beneficial to all concerned parties, we have serious concerns that DPC not become embroiled in a perpetual series of renegotiations, given our experiences of having already renegotiated the contract in the 1990s. </w:t>
      </w:r>
    </w:p>
    <w:p>
      <w:pPr>
        <w:pStyle w:val="Normal"/>
        <w:spacing w:lineRule="auto" w:line="360"/>
        <w:jc w:val="both"/>
        <w:rPr/>
      </w:pPr>
      <w:r>
        <w:rPr/>
      </w:r>
    </w:p>
    <w:p>
      <w:pPr>
        <w:pStyle w:val="Normal"/>
        <w:spacing w:lineRule="auto" w:line="360"/>
        <w:jc w:val="both"/>
        <w:rPr/>
      </w:pPr>
      <w:r>
        <w:rPr/>
        <w:t xml:space="preserve">To date no realistic proposal has been offered.  Furthermore, no progress has been made in securing creditworthy buyers that can purchase power at a price that is reasonable for new-generation plants.  Consequently, until the issue is resolved DPC intends to continue to pursue all other remedies under the PPA, such as international arbitration, to resolve this issue in a way that seeks to protect the rights of DPC’s sponsors, lenders, fuel suppliers and LNG ship owners.   </w:t>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color w:val="000000"/>
      <w:szCs w:val="20"/>
    </w:rPr>
  </w:style>
  <w:style w:type="paragraph" w:styleId="BodyText3">
    <w:name w:val="Body Text 3"/>
    <w:basedOn w:val="Normal"/>
    <w:qFormat/>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2001-07-27T21:09:00Z</dcterms:created>
  <dc:creator>Johan Zaayman</dc:creator>
  <dc:description/>
  <dc:language>en-CA</dc:language>
  <cp:lastModifiedBy>John Ambler</cp:lastModifiedBy>
  <cp:lastPrinted>2001-07-27T15:34:00Z</cp:lastPrinted>
  <dcterms:modified xsi:type="dcterms:W3CDTF">2001-07-27T21:09:00Z</dcterms:modified>
  <cp:revision>2</cp:revision>
  <dc:subject/>
  <dc:title>DRAFT STATEMENT: REMARKS BY KEN LAY RE ENRON STAKE IN DABHOL POWER COMPANY</dc:title>
</cp:coreProperties>
</file>