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/>
      </w:pPr>
      <w:r>
        <w:rPr/>
        <w:t>Dabhal Legal Letter Wording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Legal conclusion needed (broadly) internal/external to avoid impairment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It is remote that MSEB would prevail under its assertion that DPC violated the purchase power agreement.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It is probable that MERC will not obtain jurisdiction for the issuer, rather that it is probable that jurisdiction will be in UK.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It is probable that UK arbitration will be successful to DPC, so that at a minimum, the fair value of the settlement will result in a recovery of an amount at least equal to Enron’s total investment in advance to and related activities to DPC of $1.2 billion.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legal letter will be needed the earlier of Andersen’s association with the 10-Q or December 15,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191" w:top="2665" w:footer="1383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sz w:val="16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3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4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2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2001-11-17T21:12:00Z</dcterms:created>
  <dc:creator>Arthur Andersen</dc:creator>
  <dc:description/>
  <dc:language>en-CA</dc:language>
  <cp:lastModifiedBy>Arthur Andersen</cp:lastModifiedBy>
  <cp:lastPrinted>1999-11-18T18:07:00Z</cp:lastPrinted>
  <dcterms:modified xsi:type="dcterms:W3CDTF">2001-11-17T21:23:00Z</dcterms:modified>
  <cp:revision>1</cp:revision>
  <dc:subject/>
  <dc:title>Dabhal Legal Letter Wording</dc:title>
</cp:coreProperties>
</file>