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i/>
          <w:i/>
          <w:sz w:val="28"/>
          <w:u w:val="single"/>
        </w:rPr>
      </w:pPr>
      <w:r>
        <w:rPr>
          <w:i/>
          <w:sz w:val="28"/>
          <w:u w:val="single"/>
        </w:rPr>
      </w:r>
    </w:p>
    <w:p>
      <w:pPr>
        <w:pStyle w:val="Heading1"/>
        <w:ind w:hanging="0" w:start="0"/>
        <w:rPr/>
      </w:pPr>
      <w:r>
        <w:rPr/>
        <w:t>CONFIDENTIAL</w:t>
      </w:r>
    </w:p>
    <w:p>
      <w:pPr>
        <w:pStyle w:val="Normal"/>
        <w:suppressAutoHyphens w:val="true"/>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suppressAutoHyphens w:val="true"/>
        <w:rPr>
          <w:rFonts w:ascii="Times New Roman" w:hAnsi="Times New Roman" w:cs="Times New Roman"/>
          <w:b/>
          <w:sz w:val="22"/>
        </w:rPr>
      </w:pPr>
      <w:r>
        <w:rPr>
          <w:rFonts w:cs="Times New Roman" w:ascii="Times New Roman" w:hAnsi="Times New Roman"/>
          <w:b/>
          <w:sz w:val="22"/>
        </w:rPr>
        <w:tab/>
        <w:t>SUMMARY</w:t>
      </w:r>
    </w:p>
    <w:p>
      <w:pPr>
        <w:pStyle w:val="Normal"/>
        <w:tabs>
          <w:tab w:val="clear" w:pos="720"/>
          <w:tab w:val="left" w:pos="-720" w:leader="none"/>
        </w:tabs>
        <w:suppressAutoHyphens w:val="true"/>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suppressAutoHyphens w:val="true"/>
        <w:rPr>
          <w:rFonts w:ascii="Times New Roman" w:hAnsi="Times New Roman" w:cs="Times New Roman"/>
          <w:sz w:val="22"/>
        </w:rPr>
      </w:pPr>
      <w:r>
        <w:rPr>
          <w:rFonts w:cs="Times New Roman" w:ascii="Times New Roman" w:hAnsi="Times New Roman"/>
          <w:b/>
          <w:sz w:val="22"/>
        </w:rPr>
        <w:tab/>
      </w:r>
      <w:r>
        <w:rPr>
          <w:rFonts w:cs="Times New Roman" w:ascii="Times New Roman" w:hAnsi="Times New Roman"/>
          <w:b/>
          <w:sz w:val="22"/>
          <w:u w:val="single"/>
        </w:rPr>
        <w:t>DIRECTORS &amp; OFFICERS (INCLUDING ENTITY COVERAGE) LIABILITY</w:t>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Insured:</w:t>
        <w:tab/>
        <w:t>Enron Corp. and subsidiaries</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Policy Period:</w:t>
        <w:tab/>
        <w:t>September 1, 1998 to September 1, 2001</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Insurers:</w:t>
        <w:tab/>
        <w:t>Associated Electric and Gas Insurance Services Limited, Energy Insurance Mutual Limited, Federal Insurance Company (Chubb), Reliance National Insurance Co., Executive Risk Insurance Company, Lloyds of London, Royal Sun Alliance and Ace Insurance  Company Ltd.</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 xml:space="preserve">Limit of Liability: </w:t>
        <w:tab/>
        <w:t>Up to $300,000,000 Directors &amp; Officers</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ab/>
        <w:t>Up to $300,000,000 Corporate Reimbursement</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ab/>
        <w:t>(Limits are annual aggregates and payments under all sections erode limits available.)</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Deductibles:</w:t>
        <w:tab/>
        <w:t xml:space="preserve">   - 0 -   Directors &amp; Officers </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ab/>
        <w:t>$1,000,000 each claim - Corp. Reimbursement</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t>Description of Coverage:</w:t>
      </w:r>
    </w:p>
    <w:p>
      <w:pPr>
        <w:pStyle w:val="Normal"/>
        <w:tabs>
          <w:tab w:val="clear" w:pos="720"/>
          <w:tab w:val="left" w:pos="-1440" w:leader="none"/>
          <w:tab w:val="left" w:pos="-720" w:leader="none"/>
          <w:tab w:val="left" w:pos="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ab/>
        <w:t>Part A:</w:t>
        <w:tab/>
        <w:t>To indemnify the Directors and Officers for all sums which they shall become legally obligated to pay for claims made during the policy period because of a Wrongful Act, as defined below, for which the Company has not provided reimbursement</w:t>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ab/>
        <w:t>Part B:</w:t>
        <w:tab/>
        <w:t>To indemnify the Company for sums which it has reimbursed Directors and Officers for claims made during the policy period due to Wrongful Acts, as defined below, as required or permitted by applicable common or statutory law or under the provisions of the Company's Charter.</w:t>
      </w:r>
    </w:p>
    <w:p>
      <w:pPr>
        <w:pStyle w:val="Normal"/>
        <w:tabs>
          <w:tab w:val="left" w:pos="-1440" w:leader="none"/>
          <w:tab w:val="left" w:pos="-720" w:leader="none"/>
          <w:tab w:val="left" w:pos="0" w:leader="none"/>
          <w:tab w:val="left" w:pos="72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ab/>
        <w:t>Entity Coverage:</w:t>
        <w:tab/>
        <w:t>Coverage for Entity in Securities claim and Non-Securities claims   subject to policy terms.</w:t>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ind w:hanging="3024" w:start="3024" w:end="0"/>
        <w:rPr>
          <w:rFonts w:ascii="Times New Roman" w:hAnsi="Times New Roman" w:cs="Times New Roman"/>
          <w:sz w:val="22"/>
        </w:rPr>
      </w:pPr>
      <w:r>
        <w:rPr>
          <w:rFonts w:cs="Times New Roman" w:ascii="Times New Roman" w:hAnsi="Times New Roman"/>
          <w:sz w:val="22"/>
        </w:rPr>
        <w:tab/>
        <w:t>Wrongful Acts:</w:t>
        <w:tab/>
        <w:t>Any actual or alleged breach of duty, neglect, error, misstatement, misleading statement or omission actually or allegedly caused, committed or attempted by any Director or Officer while acting in their capacity as Director or Officer individually or collectively.</w:t>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t>Major Exclusions:</w:t>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ind w:hanging="1296" w:start="1296" w:end="0"/>
        <w:rPr>
          <w:rFonts w:ascii="Times New Roman" w:hAnsi="Times New Roman" w:cs="Times New Roman"/>
          <w:sz w:val="22"/>
        </w:rPr>
      </w:pPr>
      <w:r>
        <w:rPr>
          <w:rFonts w:cs="Times New Roman" w:ascii="Times New Roman" w:hAnsi="Times New Roman"/>
          <w:sz w:val="22"/>
        </w:rPr>
        <w:tab/>
        <w:t>1.</w:t>
        <w:tab/>
        <w:t>Any dishonest or fraudulent act or omission or any criminal act or omission or any willful violation of any statute, rule or law.</w:t>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ind w:hanging="1296" w:start="1296" w:end="0"/>
        <w:rPr>
          <w:rFonts w:ascii="Times New Roman" w:hAnsi="Times New Roman" w:cs="Times New Roman"/>
          <w:sz w:val="22"/>
        </w:rPr>
      </w:pPr>
      <w:r>
        <w:rPr>
          <w:rFonts w:cs="Times New Roman" w:ascii="Times New Roman" w:hAnsi="Times New Roman"/>
          <w:sz w:val="22"/>
        </w:rPr>
        <w:tab/>
        <w:t>2.</w:t>
        <w:tab/>
        <w:t>Personal profit or advantage to which not legally entitled.</w:t>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ind w:hanging="1296" w:start="1296" w:end="0"/>
        <w:rPr>
          <w:rFonts w:ascii="Times New Roman" w:hAnsi="Times New Roman" w:cs="Times New Roman"/>
          <w:sz w:val="22"/>
        </w:rPr>
      </w:pPr>
      <w:r>
        <w:rPr>
          <w:rFonts w:cs="Times New Roman" w:ascii="Times New Roman" w:hAnsi="Times New Roman"/>
          <w:sz w:val="22"/>
        </w:rPr>
        <w:tab/>
        <w:t>3.</w:t>
        <w:tab/>
        <w:t>Any prior and/or pending litigation as of 6/1/87.</w:t>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ind w:hanging="1296" w:start="1296" w:end="0"/>
        <w:rPr>
          <w:rFonts w:ascii="Times New Roman" w:hAnsi="Times New Roman" w:cs="Times New Roman"/>
          <w:sz w:val="22"/>
        </w:rPr>
      </w:pPr>
      <w:r>
        <w:rPr>
          <w:rFonts w:cs="Times New Roman" w:ascii="Times New Roman" w:hAnsi="Times New Roman"/>
          <w:sz w:val="22"/>
        </w:rPr>
        <w:tab/>
        <w:t>4.</w:t>
        <w:tab/>
        <w:t>ERISA or Employee Benefit Liability.</w:t>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left" w:pos="-1440" w:leader="none"/>
          <w:tab w:val="left" w:pos="-720" w:leader="none"/>
          <w:tab w:val="left" w:pos="0" w:leader="none"/>
          <w:tab w:val="left" w:pos="720" w:leader="none"/>
          <w:tab w:val="left" w:pos="1440" w:leader="none"/>
        </w:tabs>
        <w:suppressAutoHyphens w:val="true"/>
        <w:rPr>
          <w:sz w:val="22"/>
        </w:rPr>
      </w:pPr>
      <w:r>
        <w:rPr>
          <w:rFonts w:cs="Times New Roman" w:ascii="Times New Roman" w:hAnsi="Times New Roman"/>
          <w:sz w:val="22"/>
        </w:rPr>
        <w:t>For bodily injury, mental anguish, mental illness, emotional upset, sickness or disease sustained by any person, death of any person, or for physical injury to or destruction of tangible property or the loss of use thereof.</w:t>
      </w:r>
      <w:r>
        <w:rPr>
          <w:sz w:val="22"/>
        </w:rPr>
        <w:t>.</w:t>
      </w:r>
    </w:p>
    <w:p>
      <w:pPr>
        <w:pStyle w:val="Normal"/>
        <w:tabs>
          <w:tab w:val="left" w:pos="-1440" w:leader="none"/>
          <w:tab w:val="left" w:pos="-720" w:leader="none"/>
          <w:tab w:val="left" w:pos="0" w:leader="none"/>
          <w:tab w:val="left" w:pos="720" w:leader="none"/>
          <w:tab w:val="left" w:pos="1296" w:leader="none"/>
          <w:tab w:val="left" w:pos="1440" w:leader="none"/>
        </w:tabs>
        <w:suppressAutoHyphens w:val="true"/>
        <w:rPr>
          <w:sz w:val="22"/>
        </w:rPr>
      </w:pPr>
      <w:r>
        <w:rPr>
          <w:sz w:val="22"/>
        </w:rPr>
      </w:r>
    </w:p>
    <w:p>
      <w:pPr>
        <w:pStyle w:val="Normal"/>
        <w:numPr>
          <w:ilvl w:val="0"/>
          <w:numId w:val="2"/>
        </w:numPr>
        <w:tabs>
          <w:tab w:val="left" w:pos="-1440" w:leader="none"/>
          <w:tab w:val="left" w:pos="-720" w:leader="none"/>
          <w:tab w:val="left" w:pos="0" w:leader="none"/>
          <w:tab w:val="left" w:pos="720" w:leader="none"/>
          <w:tab w:val="left" w:pos="1440" w:leader="none"/>
        </w:tabs>
        <w:suppressAutoHyphens w:val="true"/>
        <w:rPr>
          <w:rFonts w:ascii="Times New Roman" w:hAnsi="Times New Roman" w:cs="Times New Roman"/>
          <w:sz w:val="22"/>
        </w:rPr>
      </w:pPr>
      <w:r>
        <w:rPr>
          <w:rFonts w:cs="Times New Roman" w:ascii="Times New Roman" w:hAnsi="Times New Roman"/>
          <w:sz w:val="22"/>
        </w:rPr>
        <w:t>Excludes fines or penalties imposed in a criminal suit, action or proceeding.</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 Exclusion for Year 2000 issues</w:t>
      </w:r>
    </w:p>
    <w:p>
      <w:pPr>
        <w:pStyle w:val="Normal"/>
        <w:tabs>
          <w:tab w:val="left" w:pos="-1440" w:leader="none"/>
          <w:tab w:val="left" w:pos="-720" w:leader="none"/>
          <w:tab w:val="left" w:pos="0" w:leader="none"/>
          <w:tab w:val="left" w:pos="720" w:leader="none"/>
          <w:tab w:val="left" w:pos="3024" w:leader="none"/>
        </w:tabs>
        <w:suppressAutoHyphens w:val="true"/>
        <w:rPr>
          <w:rFonts w:ascii="Times New Roman" w:hAnsi="Times New Roman" w:cs="Times New Roman"/>
          <w:sz w:val="22"/>
        </w:rPr>
      </w:pPr>
      <w:r>
        <w:rPr>
          <w:rFonts w:cs="Times New Roman" w:ascii="Times New Roman" w:hAnsi="Times New Roman"/>
          <w:sz w:val="22"/>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290"/>
        </w:tabs>
        <w:ind w:start="1290" w:hanging="5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b/>
      <w:i/>
      <w:sz w:val="28"/>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2000-03-06T13:52:00Z</dcterms:created>
  <dc:creator>teddy ward</dc:creator>
  <dc:description/>
  <dc:language>en-CA</dc:language>
  <cp:lastModifiedBy>ECT</cp:lastModifiedBy>
  <cp:lastPrinted>1998-12-18T14:14:00Z</cp:lastPrinted>
  <dcterms:modified xsi:type="dcterms:W3CDTF">2000-03-06T13:52:00Z</dcterms:modified>
  <cp:revision>2</cp:revision>
  <dc:subject/>
  <dc:title>	SUMMARY</dc:title>
</cp:coreProperties>
</file>