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SOFTWARE ESCROW AGREEMENT</w:t>
      </w:r>
    </w:p>
    <w:p>
      <w:pPr>
        <w:pStyle w:val="Normal"/>
        <w:rPr/>
      </w:pPr>
      <w:r>
        <w:rPr/>
      </w:r>
    </w:p>
    <w:p>
      <w:pPr>
        <w:pStyle w:val="Normal"/>
        <w:rPr/>
      </w:pPr>
      <w:r>
        <w:rPr/>
      </w:r>
    </w:p>
    <w:p>
      <w:pPr>
        <w:pStyle w:val="BodyText"/>
        <w:rPr/>
      </w:pPr>
      <w:r>
        <w:rPr/>
        <w:t>This Software Escrow Agreement (the “Agreement”) is entered into as of this ____ day of ____________, 2000 by and among ENRON CORP., an Oregon corporation (“Enron”), D</w:t>
        <w:noBreakHyphen/>
        <w:t>G ENERGY SYSTEMS, a limited liability company organized under the laws of the State of Massachusetts (“D</w:t>
        <w:noBreakHyphen/>
        <w:t>G”), and BROWN, HART, KAPLAN &amp; GOLOWICH, LLP, a limited liability partnership organized under the laws of the State of __________ (“Brown”).</w:t>
      </w:r>
    </w:p>
    <w:p>
      <w:pPr>
        <w:pStyle w:val="Normal"/>
        <w:rPr/>
      </w:pPr>
      <w:r>
        <w:rPr/>
      </w:r>
    </w:p>
    <w:p>
      <w:pPr>
        <w:pStyle w:val="Heading1"/>
        <w:ind w:hanging="0" w:start="0"/>
        <w:rPr/>
      </w:pPr>
      <w:r>
        <w:rPr/>
        <w:t>RECITALS</w:t>
      </w:r>
    </w:p>
    <w:p>
      <w:pPr>
        <w:pStyle w:val="Normal"/>
        <w:jc w:val="center"/>
        <w:rPr>
          <w:b/>
          <w:bCs/>
        </w:rPr>
      </w:pPr>
      <w:r>
        <w:rPr>
          <w:b/>
          <w:bCs/>
        </w:rPr>
      </w:r>
    </w:p>
    <w:p>
      <w:pPr>
        <w:pStyle w:val="BodyText"/>
        <w:rPr/>
      </w:pPr>
      <w:r>
        <w:rPr/>
        <w:t>D</w:t>
        <w:noBreakHyphen/>
        <w:t>G has developed certain proprietary computer software products known as “D</w:t>
        <w:noBreakHyphen/>
        <w:t>G Energy Software” which it has licensed to Enron pursuant to a Software License Agreement between D</w:t>
        <w:noBreakHyphen/>
        <w:t xml:space="preserve">G and Enron.  </w:t>
      </w:r>
    </w:p>
    <w:p>
      <w:pPr>
        <w:pStyle w:val="Normal"/>
        <w:jc w:val="both"/>
        <w:rPr/>
      </w:pPr>
      <w:r>
        <w:rPr/>
      </w:r>
    </w:p>
    <w:p>
      <w:pPr>
        <w:pStyle w:val="Normal"/>
        <w:jc w:val="both"/>
        <w:rPr/>
      </w:pPr>
      <w:r>
        <w:rPr/>
        <w:t>D</w:t>
        <w:noBreakHyphen/>
        <w:t>G has agreed to provide Enron with a copy of the source code to the D</w:t>
        <w:noBreakHyphen/>
        <w:t>G Energy Software within twelve (12) months of the Effective Day of the Software License Agreement between D</w:t>
        <w:noBreakHyphen/>
        <w:t xml:space="preserve">G and Enron.  </w:t>
      </w:r>
    </w:p>
    <w:p>
      <w:pPr>
        <w:pStyle w:val="Normal"/>
        <w:jc w:val="both"/>
        <w:rPr/>
      </w:pPr>
      <w:r>
        <w:rPr/>
      </w:r>
    </w:p>
    <w:p>
      <w:pPr>
        <w:pStyle w:val="Normal"/>
        <w:jc w:val="both"/>
        <w:rPr/>
      </w:pPr>
      <w:r>
        <w:rPr/>
        <w:t>Brown agrees to serve as an escrow agent for the D</w:t>
        <w:noBreakHyphen/>
        <w:t>G Energy Software source code by storing, retaining, and subsequently releasing the source code to Enron under conditions set forth below.</w:t>
      </w:r>
    </w:p>
    <w:p>
      <w:pPr>
        <w:pStyle w:val="Normal"/>
        <w:jc w:val="both"/>
        <w:rPr/>
      </w:pPr>
      <w:r>
        <w:rPr/>
      </w:r>
    </w:p>
    <w:p>
      <w:pPr>
        <w:pStyle w:val="Normal"/>
        <w:jc w:val="both"/>
        <w:rPr/>
      </w:pPr>
      <w:r>
        <w:rPr/>
        <w:t>Now, therefore, the parties agree as follows:</w:t>
      </w:r>
    </w:p>
    <w:p>
      <w:pPr>
        <w:pStyle w:val="Normal"/>
        <w:jc w:val="both"/>
        <w:rPr/>
      </w:pPr>
      <w:r>
        <w:rPr/>
      </w:r>
    </w:p>
    <w:p>
      <w:pPr>
        <w:pStyle w:val="Normal"/>
        <w:jc w:val="both"/>
        <w:rPr>
          <w:b/>
          <w:bCs/>
        </w:rPr>
      </w:pPr>
      <w:r>
        <w:rPr>
          <w:b/>
          <w:bCs/>
        </w:rPr>
        <w:t>1.</w:t>
        <w:tab/>
        <w:t>DEPOSIT OF SOURCE CODE</w:t>
      </w:r>
    </w:p>
    <w:p>
      <w:pPr>
        <w:pStyle w:val="Normal"/>
        <w:jc w:val="both"/>
        <w:rPr>
          <w:b/>
          <w:bCs/>
        </w:rPr>
      </w:pPr>
      <w:r>
        <w:rPr>
          <w:b/>
          <w:bCs/>
        </w:rPr>
      </w:r>
    </w:p>
    <w:p>
      <w:pPr>
        <w:pStyle w:val="Normal"/>
        <w:numPr>
          <w:ilvl w:val="0"/>
          <w:numId w:val="2"/>
        </w:numPr>
        <w:tabs>
          <w:tab w:val="clear" w:pos="720"/>
          <w:tab w:val="left" w:pos="-720" w:leader="none"/>
          <w:tab w:val="left" w:pos="0" w:leader="none"/>
        </w:tabs>
        <w:suppressAutoHyphens w:val="true"/>
        <w:jc w:val="both"/>
        <w:rPr>
          <w:spacing w:val="-3"/>
        </w:rPr>
      </w:pPr>
      <w:r>
        <w:rPr/>
        <w:t xml:space="preserve">Within thirty (30) days of the Effective Date of the Software License Agreement between D-G and Enron, D-G shall deposit with Brown: </w:t>
      </w:r>
      <w:r>
        <w:rPr>
          <w:spacing w:val="-3"/>
        </w:rPr>
        <w:t>(i) accurate, current, complete and compilable copies of the D-G Energy Software in machine</w:t>
        <w:noBreakHyphen/>
        <w:t>readable source code form, (ii) a list of the compiled source code (with release and version numbers specified), (iii) the associated job-control language and any other D-G owned or licensed software needed to compile and link</w:t>
        <w:noBreakHyphen/>
        <w:t xml:space="preserve">edit the source code so that it will compile, and (iv) all necessary documentation and other materials required for maintaining or modifying the </w:t>
      </w:r>
      <w:r>
        <w:rPr/>
        <w:t>D</w:t>
        <w:noBreakHyphen/>
        <w:t>G</w:t>
      </w:r>
      <w:r>
        <w:rPr>
          <w:spacing w:val="-3"/>
        </w:rPr>
        <w:t xml:space="preserve"> Energy Software (including programs, routines, sub</w:t>
        <w:noBreakHyphen/>
        <w:t>routines, transaction processing diagrams, and human</w:t>
        <w:noBreakHyphen/>
        <w:t xml:space="preserve">readable source code).  The copy of source code and other materials referred to in this Paragraph are collectively referred to as the "Source Code Delivery Package".  </w:t>
      </w:r>
      <w:r>
        <w:rPr/>
        <w:t>D</w:t>
        <w:noBreakHyphen/>
        <w:t>G</w:t>
      </w:r>
      <w:r>
        <w:rPr>
          <w:spacing w:val="-3"/>
        </w:rPr>
        <w:t xml:space="preserve"> agrees to continuously store, deposit and maintain for the protection and benefit of Enron the Source Code Delivery Package (</w:t>
      </w:r>
      <w:r>
        <w:rPr>
          <w:i/>
          <w:spacing w:val="-3"/>
        </w:rPr>
        <w:t>i.e.</w:t>
      </w:r>
      <w:r>
        <w:rPr>
          <w:spacing w:val="-3"/>
        </w:rPr>
        <w:t xml:space="preserve">, the Source Code Delivery Package must be kept current as enhancements, improvements, and updates are made available for the D-G Energy Software).  </w:t>
      </w:r>
    </w:p>
    <w:p>
      <w:pPr>
        <w:pStyle w:val="Normal"/>
        <w:tabs>
          <w:tab w:val="clear" w:pos="720"/>
          <w:tab w:val="left" w:pos="-720" w:leader="none"/>
          <w:tab w:val="left" w:pos="0" w:leader="none"/>
        </w:tabs>
        <w:suppressAutoHyphens w:val="true"/>
        <w:ind w:start="720" w:end="0"/>
        <w:jc w:val="both"/>
        <w:rPr>
          <w:spacing w:val="-3"/>
        </w:rPr>
      </w:pPr>
      <w:r>
        <w:rPr>
          <w:spacing w:val="-3"/>
        </w:rPr>
      </w:r>
    </w:p>
    <w:p>
      <w:pPr>
        <w:pStyle w:val="Normal"/>
        <w:numPr>
          <w:ilvl w:val="0"/>
          <w:numId w:val="2"/>
        </w:numPr>
        <w:tabs>
          <w:tab w:val="clear" w:pos="720"/>
          <w:tab w:val="left" w:pos="-720" w:leader="none"/>
          <w:tab w:val="left" w:pos="0" w:leader="none"/>
        </w:tabs>
        <w:suppressAutoHyphens w:val="true"/>
        <w:jc w:val="both"/>
        <w:rPr>
          <w:spacing w:val="-3"/>
        </w:rPr>
      </w:pPr>
      <w:r>
        <w:rPr/>
        <w:t>D</w:t>
        <w:noBreakHyphen/>
        <w:t>G</w:t>
      </w:r>
      <w:r>
        <w:rPr>
          <w:spacing w:val="-3"/>
        </w:rPr>
        <w:t xml:space="preserve"> warrants and represents that the initial and each revised copy of the Source Code Delivery Package will contain documented source code, in both machine readable and human readable form, necessary to produce the machine executable form of the </w:t>
      </w:r>
      <w:r>
        <w:rPr/>
        <w:t>D</w:t>
        <w:noBreakHyphen/>
        <w:t>G</w:t>
      </w:r>
      <w:r>
        <w:rPr>
          <w:spacing w:val="-3"/>
        </w:rPr>
        <w:t xml:space="preserve"> Energy Software.  </w:t>
      </w:r>
      <w:r>
        <w:rPr/>
        <w:t>D</w:t>
        <w:noBreakHyphen/>
        <w:t>G</w:t>
      </w:r>
      <w:r>
        <w:rPr>
          <w:spacing w:val="-3"/>
        </w:rPr>
        <w:t xml:space="preserve"> further warrants and represents that the initial and each revised copy of the Source Code Delivery Package will enable a reasonably skilled computer programmer or analyst to maintain and enhance the </w:t>
      </w:r>
      <w:r>
        <w:rPr/>
        <w:t>D</w:t>
        <w:noBreakHyphen/>
        <w:t>G</w:t>
      </w:r>
      <w:r>
        <w:rPr>
          <w:spacing w:val="-3"/>
        </w:rPr>
        <w:t xml:space="preserve"> Energy Software without the aid of </w:t>
      </w:r>
      <w:r>
        <w:rPr/>
        <w:t>D</w:t>
        <w:noBreakHyphen/>
        <w:t>G</w:t>
      </w:r>
      <w:r>
        <w:rPr>
          <w:spacing w:val="-3"/>
        </w:rPr>
        <w:t>.</w:t>
      </w:r>
    </w:p>
    <w:p>
      <w:pPr>
        <w:pStyle w:val="Normal"/>
        <w:tabs>
          <w:tab w:val="clear" w:pos="720"/>
          <w:tab w:val="left" w:pos="-720" w:leader="none"/>
          <w:tab w:val="left" w:pos="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start="720" w:end="0"/>
        <w:jc w:val="both"/>
        <w:rPr>
          <w:spacing w:val="-3"/>
        </w:rPr>
      </w:pPr>
      <w:r>
        <w:rPr>
          <w:spacing w:val="-3"/>
        </w:rPr>
      </w:r>
    </w:p>
    <w:p>
      <w:pPr>
        <w:pStyle w:val="Normal"/>
        <w:jc w:val="both"/>
        <w:rPr>
          <w:b/>
          <w:bCs/>
        </w:rPr>
      </w:pPr>
      <w:r>
        <w:rPr>
          <w:b/>
          <w:bCs/>
        </w:rPr>
        <w:t>2.</w:t>
        <w:tab/>
        <w:t>RELEASE OF SOURCE CODE DELIVERY PACKAGE</w:t>
      </w:r>
    </w:p>
    <w:p>
      <w:pPr>
        <w:pStyle w:val="Normal"/>
        <w:jc w:val="both"/>
        <w:rPr>
          <w:b/>
          <w:bCs/>
        </w:rPr>
      </w:pPr>
      <w:r>
        <w:rPr>
          <w:b/>
          <w:bCs/>
        </w:rPr>
      </w:r>
    </w:p>
    <w:p>
      <w:pPr>
        <w:pStyle w:val="BodyText"/>
        <w:numPr>
          <w:ilvl w:val="0"/>
          <w:numId w:val="3"/>
        </w:numPr>
        <w:rPr/>
      </w:pPr>
      <w:r>
        <w:rPr/>
        <w:t>Brown irrevocably warrants that it will provide Enron with the most current Source Code Delivery Package within twelve months of the Effective Day of the Software License Agreement between Enron and D</w:t>
        <w:noBreakHyphen/>
        <w:t>G if D</w:t>
        <w:noBreakHyphen/>
        <w:t>G</w:t>
      </w:r>
      <w:r>
        <w:rPr>
          <w:spacing w:val="-3"/>
        </w:rPr>
        <w:t xml:space="preserve"> </w:t>
      </w:r>
      <w:r>
        <w:rPr/>
        <w:t>fails to directly provide Enron with the Source Code Delivery Package at such time.  Enron shall provide written request to Brown and Brown shall immediately release the Source Code Delivery Package to Enron.</w:t>
      </w:r>
    </w:p>
    <w:p>
      <w:pPr>
        <w:pStyle w:val="BodyText"/>
        <w:rPr/>
      </w:pPr>
      <w:r>
        <w:rPr/>
      </w:r>
    </w:p>
    <w:p>
      <w:pPr>
        <w:pStyle w:val="BodyTextIndent"/>
        <w:ind w:hanging="720" w:end="0"/>
        <w:rPr/>
      </w:pPr>
      <w:r>
        <w:rPr/>
        <w:t>b.</w:t>
        <w:tab/>
        <w:t>Enron may obtain a copy of the most current Source Code Delivery Package upon written request to either or both D-G and Brown upon the occurrence of any of the following events (collectively referred to herein as "Events of Default"):</w:t>
      </w:r>
    </w:p>
    <w:p>
      <w:pPr>
        <w:pStyle w:val="Normal"/>
        <w:tabs>
          <w:tab w:val="clear" w:pos="720"/>
          <w:tab w:val="left" w:pos="-720" w:leader="none"/>
        </w:tabs>
        <w:suppressAutoHyphens w:val="true"/>
        <w:jc w:val="both"/>
        <w:rPr>
          <w:spacing w:val="-3"/>
        </w:rPr>
      </w:pPr>
      <w:r>
        <w:rPr>
          <w:spacing w:val="-3"/>
        </w:rPr>
      </w:r>
    </w:p>
    <w:p>
      <w:pPr>
        <w:pStyle w:val="Normal"/>
        <w:ind w:start="1440" w:end="0"/>
        <w:jc w:val="both"/>
        <w:rPr/>
      </w:pPr>
      <w:r>
        <w:rPr/>
        <w:t>(i)</w:t>
        <w:tab/>
        <w:t>D-G has ceased its on-going business operations, or sale, licensing, maintenance or other support of the D-G Energy Software or any other event or circumstance has occurred which demonstrates with reasonable certainty the inability or unwillingness of D-G to fulfill its obligations to Enron under the Software License Agreement, or any support and maintenance agreement between the parties, including, without limitation, the correction of defects in the D-G Energy Software;</w:t>
      </w:r>
    </w:p>
    <w:p>
      <w:pPr>
        <w:pStyle w:val="Normal"/>
        <w:tabs>
          <w:tab w:val="clear" w:pos="720"/>
          <w:tab w:val="left" w:pos="-720" w:leader="none"/>
        </w:tabs>
        <w:suppressAutoHyphens w:val="true"/>
        <w:ind w:hanging="1440" w:start="1440" w:end="0"/>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pPr>
      <w:r>
        <w:rPr>
          <w:spacing w:val="-3"/>
        </w:rPr>
        <w:tab/>
        <w:tab/>
        <w:t>(ii)</w:t>
        <w:tab/>
      </w:r>
      <w:r>
        <w:rPr>
          <w:spacing w:val="-3"/>
          <w:u w:val="single"/>
        </w:rPr>
        <w:t>Bankruptcy</w:t>
      </w:r>
      <w:r>
        <w:rPr>
          <w:spacing w:val="-3"/>
        </w:rPr>
        <w:t>.  The filing of a bankruptcy petition by D-G or against D-G by its creditors that is not dismissed within 90 days of its filing with a court of competent jurisdiction;</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pPr>
      <w:r>
        <w:rPr>
          <w:spacing w:val="-3"/>
        </w:rPr>
        <w:tab/>
        <w:tab/>
        <w:t>(iii)</w:t>
        <w:tab/>
      </w:r>
      <w:r>
        <w:rPr>
          <w:spacing w:val="-3"/>
          <w:u w:val="single"/>
        </w:rPr>
        <w:t>Receivership</w:t>
      </w:r>
      <w:r>
        <w:rPr>
          <w:spacing w:val="-3"/>
        </w:rPr>
        <w:t>.  Appointment of a general receiver, trustee, or custodian of all or a substantial portion of D-G’s property or assets which is not removed or dismissed within 90 days of its appointment;</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pPr>
      <w:r>
        <w:rPr>
          <w:spacing w:val="-3"/>
        </w:rPr>
        <w:tab/>
        <w:tab/>
        <w:t>(iv)</w:t>
        <w:tab/>
      </w:r>
      <w:r>
        <w:rPr>
          <w:spacing w:val="-3"/>
          <w:u w:val="single"/>
        </w:rPr>
        <w:t>Assignment for Benefit of Creditors</w:t>
      </w:r>
      <w:r>
        <w:rPr>
          <w:spacing w:val="-3"/>
        </w:rPr>
        <w:t>.  An assignment for the benefit of creditors by D-G of all or a substantial portion of D-G’s property or assets which is not terminated or revoked within 90 days of its creation; or,</w:t>
      </w:r>
      <w:r>
        <w:br w:type="page"/>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pPr>
      <w:r>
        <w:rPr>
          <w:spacing w:val="-3"/>
        </w:rPr>
        <w:tab/>
        <w:tab/>
        <w:t>(v)</w:t>
        <w:tab/>
      </w:r>
      <w:r>
        <w:rPr>
          <w:spacing w:val="-3"/>
          <w:u w:val="single"/>
        </w:rPr>
        <w:t>Notice or Order to Release</w:t>
      </w:r>
      <w:r>
        <w:rPr>
          <w:spacing w:val="-3"/>
        </w:rPr>
        <w:t>.  Upon receipt of a verified written notice from D-G’s trustee in bankruptcy, or upon receipt of an order of a court of competent jurisdiction, directing Brown to release the Source Code Delivery Package.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pPr>
      <w:r>
        <w:rPr>
          <w:spacing w:val="-3"/>
        </w:rPr>
        <w:tab/>
        <w:t>(e)</w:t>
        <w:tab/>
      </w:r>
      <w:r>
        <w:rPr>
          <w:spacing w:val="-3"/>
          <w:u w:val="single"/>
        </w:rPr>
        <w:t>Continuing Obligation</w:t>
      </w:r>
      <w:r>
        <w:rPr>
          <w:spacing w:val="-3"/>
        </w:rPr>
        <w:t xml:space="preserve">.  In the event D-G fails to store, deposit and maintain with Enron, or to continuously store, deposit and maintain for the protection and benefit of Enron a current version of the Source Code Delivery Package, D-G agrees, upon the occurrence of an Event of Default, to furnish Enron a copy of such Source Code Delivery Package and agrees that its obligation to so furnish shall survive and shall continue until fully performed.  In the event, but only in the event, that Enron is not able to obtain or retain possession of the Source Code Delivery Package within 30 calendar days after an Event of Default occurs, without cure by D-G, then D-G hereby grants to Enron the limited right to reverse engineer, decompile and disassemble the D-G Energy Software for the limited purpose of exercising Enron’s rights hereunder. </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pPr>
      <w:r>
        <w:rPr>
          <w:spacing w:val="-3"/>
        </w:rPr>
        <w:tab/>
        <w:t>(f)</w:t>
        <w:tab/>
      </w:r>
      <w:r>
        <w:rPr>
          <w:spacing w:val="-3"/>
          <w:u w:val="single"/>
        </w:rPr>
        <w:t>Right to Verify</w:t>
      </w:r>
      <w:r>
        <w:rPr>
          <w:spacing w:val="-3"/>
        </w:rPr>
        <w:t>.  Enron shall have the right, from time to time, to verify (at Enron’s expense) the accuracy, currency, completeness and compatibility of the Source Code Delivery Package.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pPr>
      <w:r>
        <w:rPr>
          <w:spacing w:val="-3"/>
        </w:rPr>
        <w:tab/>
        <w:t>(g)</w:t>
        <w:tab/>
      </w:r>
      <w:r>
        <w:rPr>
          <w:spacing w:val="-3"/>
          <w:u w:val="single"/>
        </w:rPr>
        <w:t>Rights upon Release of Source Code Delivery Package</w:t>
      </w:r>
      <w:r>
        <w:rPr>
          <w:spacing w:val="-3"/>
        </w:rPr>
        <w:t>.  With respect to any Source Code Delivery Package released to Enron pursuant to this Agreement, Enron shall have a perpetual, nonexclusive, non</w:t>
        <w:noBreakHyphen/>
        <w:t>transferable (except to any person, firm, corporation, partnership, association or other entity which now or in the future controls, or is controlled by or is under common control with Enron) and non</w:t>
        <w:noBreakHyphen/>
        <w:t xml:space="preserve">assignable right to use, copy and modify the Source Code Delivery Package, solely for Enron’s internal purposes in connection with support, maintenance and operation of the D-G Energy Software pursuant to the rights granted in this Agreement.  D-G represents that the Source Code Delivery Package contains trade secrets of D-G.  Enron shall keep such Source Code Delivery Package, as delivered to Enron by the Escrow Agent, D-G or the trustee in bankruptcy, confidential pursuant to the terms and conditions of this Agreement; </w:t>
      </w:r>
      <w:r>
        <w:rPr>
          <w:spacing w:val="-3"/>
          <w:u w:val="single"/>
        </w:rPr>
        <w:t>provided</w:t>
      </w:r>
      <w:r>
        <w:rPr>
          <w:spacing w:val="-3"/>
        </w:rPr>
        <w:t>, however, that Enron shall have the right to disclose such Source Code Delivery Package to those of its employees, agents, subcontractors and other third parties who are providing support and services to Enron and who have a need to know and access such Source Code Delivery Package for the purposes of exercising Enron’s rights under this Agreement and who, upon reasonable request from D-G or its trustee, have executed a nondisclosure agreement with Enron (which agreement shall contain provisions that are consistent with and are at least as protective of Enron’s rights as the provisions of this Agreement).  Enron shall also have the right to copy the Source Code Delivery Package to the amount of copying reasonably necessary to carry out the license granted herein.</w:t>
      </w:r>
    </w:p>
    <w:p>
      <w:pPr>
        <w:pStyle w:val="BodyText"/>
        <w:ind w:start="720" w:end="0"/>
        <w:rPr/>
      </w:pPr>
      <w:r>
        <w:rPr/>
        <w:t xml:space="preserve">  </w:t>
      </w:r>
    </w:p>
    <w:p>
      <w:pPr>
        <w:pStyle w:val="Normal"/>
        <w:jc w:val="both"/>
        <w:rPr/>
      </w:pPr>
      <w:r>
        <w:rPr/>
      </w:r>
    </w:p>
    <w:p>
      <w:pPr>
        <w:pStyle w:val="Normal"/>
        <w:jc w:val="both"/>
        <w:rPr/>
      </w:pPr>
      <w:r>
        <w:rPr/>
        <w:t xml:space="preserve"> </w:t>
      </w:r>
      <w:r>
        <w:rPr>
          <w:b/>
          <w:bCs/>
        </w:rPr>
        <w:t>3.</w:t>
        <w:tab/>
        <w:t>MISCELLANEOUS</w:t>
      </w:r>
    </w:p>
    <w:p>
      <w:pPr>
        <w:pStyle w:val="Normal"/>
        <w:jc w:val="both"/>
        <w:rPr>
          <w:b/>
          <w:bCs/>
        </w:rPr>
      </w:pPr>
      <w:r>
        <w:rPr>
          <w:b/>
          <w:bCs/>
        </w:rPr>
      </w:r>
    </w:p>
    <w:p>
      <w:pPr>
        <w:pStyle w:val="Normal"/>
        <w:numPr>
          <w:ilvl w:val="0"/>
          <w:numId w:val="4"/>
        </w:numPr>
        <w:jc w:val="both"/>
        <w:rPr/>
      </w:pPr>
      <w:r>
        <w:rPr/>
        <w:t>Severability</w:t>
      </w:r>
    </w:p>
    <w:p>
      <w:pPr>
        <w:pStyle w:val="Normal"/>
        <w:jc w:val="both"/>
        <w:rPr/>
      </w:pPr>
      <w:r>
        <w:rPr/>
      </w:r>
    </w:p>
    <w:p>
      <w:pPr>
        <w:pStyle w:val="Normal"/>
        <w:ind w:start="1440" w:end="0"/>
        <w:jc w:val="both"/>
        <w:rPr/>
      </w:pPr>
      <w:r>
        <w:rPr/>
        <w:t>If any provision of this Agreement shall for any reason or to any extent be invalid or unenforceable, the remainder of this Agreement and application of such provision to other persons or circumstances shall be interpreted so as best to reasonably effect the intent of the parties hereto.</w:t>
      </w:r>
    </w:p>
    <w:p>
      <w:pPr>
        <w:pStyle w:val="Normal"/>
        <w:ind w:start="1440" w:end="0"/>
        <w:jc w:val="both"/>
        <w:rPr/>
      </w:pPr>
      <w:r>
        <w:rPr/>
      </w:r>
    </w:p>
    <w:p>
      <w:pPr>
        <w:pStyle w:val="Normal"/>
        <w:numPr>
          <w:ilvl w:val="0"/>
          <w:numId w:val="4"/>
        </w:numPr>
        <w:jc w:val="both"/>
        <w:rPr/>
      </w:pPr>
      <w:r>
        <w:rPr/>
        <w:t>No Waiver</w:t>
      </w:r>
    </w:p>
    <w:p>
      <w:pPr>
        <w:pStyle w:val="Normal"/>
        <w:jc w:val="both"/>
        <w:rPr/>
      </w:pPr>
      <w:r>
        <w:rPr/>
      </w:r>
    </w:p>
    <w:p>
      <w:pPr>
        <w:pStyle w:val="Normal"/>
        <w:ind w:start="1440" w:end="0"/>
        <w:jc w:val="both"/>
        <w:rPr/>
      </w:pPr>
      <w:r>
        <w:rPr/>
        <w:t>The failure of any party to enforce any of the provisions of this Agreement shall not be construed to be a waiver of the right of such party thereafter to enforce such provisions.</w:t>
      </w:r>
    </w:p>
    <w:p>
      <w:pPr>
        <w:pStyle w:val="Normal"/>
        <w:ind w:start="1440" w:end="0"/>
        <w:jc w:val="both"/>
        <w:rPr/>
      </w:pPr>
      <w:r>
        <w:rPr/>
      </w:r>
    </w:p>
    <w:p>
      <w:pPr>
        <w:pStyle w:val="Normal"/>
        <w:numPr>
          <w:ilvl w:val="0"/>
          <w:numId w:val="4"/>
        </w:numPr>
        <w:jc w:val="both"/>
        <w:rPr/>
      </w:pPr>
      <w:r>
        <w:rPr/>
        <w:t>Notices</w:t>
      </w:r>
    </w:p>
    <w:p>
      <w:pPr>
        <w:pStyle w:val="Normal"/>
        <w:ind w:start="720" w:end="0"/>
        <w:jc w:val="both"/>
        <w:rPr/>
      </w:pPr>
      <w:r>
        <w:rPr/>
      </w:r>
    </w:p>
    <w:p>
      <w:pPr>
        <w:pStyle w:val="Normal"/>
        <w:ind w:start="1440" w:end="0"/>
        <w:jc w:val="both"/>
        <w:rPr/>
      </w:pPr>
      <w:r>
        <w:rPr/>
        <w:t>I</w:t>
      </w:r>
      <w:r>
        <w:rPr>
          <w:spacing w:val="-3"/>
        </w:rPr>
        <w:t>n the event any party needs to give notice to another party, such communication shall be in writing and shall be via certified mail, return receipt requested, to the attention of the following:</w:t>
      </w:r>
    </w:p>
    <w:p>
      <w:pPr>
        <w:pStyle w:val="Normal"/>
        <w:ind w:start="1440" w:end="0"/>
        <w:jc w:val="both"/>
        <w:rPr>
          <w:spacing w:val="-3"/>
        </w:rPr>
      </w:pPr>
      <w:r>
        <w:rPr>
          <w:spacing w:val="-3"/>
        </w:rPr>
      </w:r>
    </w:p>
    <w:p>
      <w:pPr>
        <w:pStyle w:val="Normal"/>
        <w:ind w:start="1440" w:end="0"/>
        <w:jc w:val="both"/>
        <w:rPr>
          <w:spacing w:val="-3"/>
        </w:rPr>
      </w:pPr>
      <w:r>
        <w:rPr>
          <w:spacing w:val="-3"/>
        </w:rPr>
        <w:tab/>
        <w:t>Enron Corp.</w:t>
      </w:r>
    </w:p>
    <w:p>
      <w:pPr>
        <w:pStyle w:val="Normal"/>
        <w:ind w:start="1440" w:end="0"/>
        <w:jc w:val="both"/>
        <w:rPr>
          <w:spacing w:val="-3"/>
        </w:rPr>
      </w:pPr>
      <w:r>
        <w:rPr>
          <w:spacing w:val="-3"/>
        </w:rPr>
        <w:tab/>
        <w:t>1400 Smith Street</w:t>
      </w:r>
    </w:p>
    <w:p>
      <w:pPr>
        <w:pStyle w:val="Normal"/>
        <w:ind w:start="1440" w:end="0"/>
        <w:jc w:val="both"/>
        <w:rPr>
          <w:spacing w:val="-3"/>
        </w:rPr>
      </w:pPr>
      <w:r>
        <w:rPr>
          <w:spacing w:val="-3"/>
        </w:rPr>
        <w:tab/>
        <w:t>Houston, TX  77002</w:t>
      </w:r>
    </w:p>
    <w:p>
      <w:pPr>
        <w:pStyle w:val="Normal"/>
        <w:ind w:start="1440" w:end="0"/>
        <w:jc w:val="both"/>
        <w:rPr>
          <w:spacing w:val="-3"/>
        </w:rPr>
      </w:pPr>
      <w:r>
        <w:rPr>
          <w:spacing w:val="-3"/>
        </w:rPr>
        <w:tab/>
        <w:t>(713) 853-6161</w:t>
      </w:r>
    </w:p>
    <w:p>
      <w:pPr>
        <w:pStyle w:val="Normal"/>
        <w:ind w:start="1440" w:end="0"/>
        <w:jc w:val="both"/>
        <w:rPr>
          <w:spacing w:val="-3"/>
        </w:rPr>
      </w:pPr>
      <w:r>
        <w:rPr>
          <w:spacing w:val="-3"/>
        </w:rPr>
        <w:tab/>
        <w:t>Attention: Vice President, Information Services</w:t>
      </w:r>
    </w:p>
    <w:p>
      <w:pPr>
        <w:pStyle w:val="Normal"/>
        <w:ind w:start="1440" w:end="0"/>
        <w:jc w:val="both"/>
        <w:rPr>
          <w:spacing w:val="-3"/>
        </w:rPr>
      </w:pPr>
      <w:r>
        <w:rPr>
          <w:spacing w:val="-3"/>
        </w:rPr>
      </w:r>
    </w:p>
    <w:p>
      <w:pPr>
        <w:pStyle w:val="Normal"/>
        <w:ind w:firstLine="720" w:start="1440" w:end="0"/>
        <w:jc w:val="both"/>
        <w:rPr>
          <w:spacing w:val="-3"/>
        </w:rPr>
      </w:pPr>
      <w:r>
        <w:rPr>
          <w:spacing w:val="-3"/>
        </w:rPr>
        <w:t>With a copy to:  Senior Vice President and General Counsel.</w:t>
      </w:r>
    </w:p>
    <w:p>
      <w:pPr>
        <w:pStyle w:val="Normal"/>
        <w:ind w:firstLine="720" w:start="1440" w:end="0"/>
        <w:jc w:val="both"/>
        <w:rPr>
          <w:spacing w:val="-3"/>
        </w:rPr>
      </w:pPr>
      <w:r>
        <w:rPr>
          <w:spacing w:val="-3"/>
        </w:rPr>
      </w:r>
    </w:p>
    <w:p>
      <w:pPr>
        <w:pStyle w:val="Normal"/>
        <w:ind w:firstLine="720" w:start="1440" w:end="0"/>
        <w:jc w:val="both"/>
        <w:rPr>
          <w:spacing w:val="-3"/>
        </w:rPr>
      </w:pPr>
      <w:r>
        <w:rPr>
          <w:spacing w:val="-3"/>
        </w:rPr>
      </w:r>
    </w:p>
    <w:p>
      <w:pPr>
        <w:pStyle w:val="Normal"/>
        <w:ind w:firstLine="720" w:start="1440" w:end="0"/>
        <w:jc w:val="both"/>
        <w:rPr>
          <w:spacing w:val="-3"/>
        </w:rPr>
      </w:pPr>
      <w:r>
        <w:rPr>
          <w:spacing w:val="-3"/>
        </w:rPr>
        <w:t>D-G Energy Systems</w:t>
      </w:r>
    </w:p>
    <w:p>
      <w:pPr>
        <w:pStyle w:val="Normal"/>
        <w:ind w:firstLine="720" w:start="1440" w:end="0"/>
        <w:jc w:val="both"/>
        <w:rPr>
          <w:spacing w:val="-3"/>
        </w:rPr>
      </w:pPr>
      <w:r>
        <w:rPr>
          <w:spacing w:val="-3"/>
        </w:rPr>
        <w:t>__________________</w:t>
      </w:r>
    </w:p>
    <w:p>
      <w:pPr>
        <w:pStyle w:val="Normal"/>
        <w:ind w:firstLine="720" w:start="1440" w:end="0"/>
        <w:jc w:val="both"/>
        <w:rPr/>
      </w:pPr>
      <w:r>
        <w:rPr/>
        <w:t>__________________</w:t>
      </w:r>
    </w:p>
    <w:p>
      <w:pPr>
        <w:pStyle w:val="Normal"/>
        <w:ind w:firstLine="720" w:start="1440" w:end="0"/>
        <w:jc w:val="both"/>
        <w:rPr/>
      </w:pPr>
      <w:r>
        <w:rPr/>
        <w:t>__________________</w:t>
      </w:r>
    </w:p>
    <w:p>
      <w:pPr>
        <w:pStyle w:val="Normal"/>
        <w:ind w:firstLine="720" w:start="1440" w:end="0"/>
        <w:jc w:val="both"/>
        <w:rPr/>
      </w:pPr>
      <w:r>
        <w:rPr/>
      </w:r>
    </w:p>
    <w:p>
      <w:pPr>
        <w:pStyle w:val="Normal"/>
        <w:ind w:firstLine="720" w:start="1440" w:end="0"/>
        <w:jc w:val="both"/>
        <w:rPr/>
      </w:pPr>
      <w:r>
        <w:rPr/>
      </w:r>
    </w:p>
    <w:p>
      <w:pPr>
        <w:pStyle w:val="Normal"/>
        <w:ind w:firstLine="720" w:start="1440" w:end="0"/>
        <w:jc w:val="both"/>
        <w:rPr/>
      </w:pPr>
      <w:r>
        <w:rPr/>
        <w:t>Brown, Hart, Kaplan &amp; Golowich, LLP</w:t>
      </w:r>
    </w:p>
    <w:p>
      <w:pPr>
        <w:pStyle w:val="Normal"/>
        <w:ind w:firstLine="720" w:start="1440" w:end="0"/>
        <w:jc w:val="both"/>
        <w:rPr/>
      </w:pPr>
      <w:r>
        <w:rPr/>
        <w:t>__________________</w:t>
      </w:r>
    </w:p>
    <w:p>
      <w:pPr>
        <w:pStyle w:val="Normal"/>
        <w:ind w:firstLine="720" w:start="1440" w:end="0"/>
        <w:jc w:val="both"/>
        <w:rPr/>
      </w:pPr>
      <w:r>
        <w:rPr/>
        <w:t>__________________</w:t>
      </w:r>
    </w:p>
    <w:p>
      <w:pPr>
        <w:pStyle w:val="Normal"/>
        <w:ind w:firstLine="720" w:start="1440" w:end="0"/>
        <w:jc w:val="both"/>
        <w:rPr/>
      </w:pPr>
      <w:r>
        <w:rPr/>
        <w:t>__________________</w:t>
      </w:r>
    </w:p>
    <w:p>
      <w:pPr>
        <w:pStyle w:val="Normal"/>
        <w:ind w:firstLine="720" w:start="1440" w:end="0"/>
        <w:jc w:val="both"/>
        <w:rPr/>
      </w:pPr>
      <w:r>
        <w:rPr/>
      </w:r>
      <w:r>
        <w:br w:type="page"/>
      </w:r>
    </w:p>
    <w:p>
      <w:pPr>
        <w:pStyle w:val="Normal"/>
        <w:ind w:start="1440" w:end="0"/>
        <w:jc w:val="both"/>
        <w:rPr/>
      </w:pPr>
      <w:r>
        <w:rPr/>
      </w:r>
    </w:p>
    <w:p>
      <w:pPr>
        <w:pStyle w:val="Normal"/>
        <w:numPr>
          <w:ilvl w:val="0"/>
          <w:numId w:val="4"/>
        </w:numPr>
        <w:jc w:val="both"/>
        <w:rPr/>
      </w:pPr>
      <w:r>
        <w:rPr/>
        <w:t>Counterparts</w:t>
      </w:r>
    </w:p>
    <w:p>
      <w:pPr>
        <w:pStyle w:val="Normal"/>
        <w:jc w:val="both"/>
        <w:rPr/>
      </w:pPr>
      <w:r>
        <w:rPr/>
      </w:r>
    </w:p>
    <w:p>
      <w:pPr>
        <w:pStyle w:val="Normal"/>
        <w:ind w:start="1440" w:end="0"/>
        <w:jc w:val="both"/>
        <w:rPr/>
      </w:pPr>
      <w:r>
        <w:rPr/>
        <w:t>This Agreement may be executed in any number of counterparts, each of which shall be an original as against any party whose signature appears thereon and all of which together shall constitute one and the same instrument.</w:t>
      </w:r>
    </w:p>
    <w:p>
      <w:pPr>
        <w:pStyle w:val="Normal"/>
        <w:jc w:val="both"/>
        <w:rPr/>
      </w:pPr>
      <w:r>
        <w:rPr/>
      </w:r>
    </w:p>
    <w:p>
      <w:pPr>
        <w:pStyle w:val="Normal"/>
        <w:numPr>
          <w:ilvl w:val="0"/>
          <w:numId w:val="4"/>
        </w:numPr>
        <w:jc w:val="both"/>
        <w:rPr/>
      </w:pPr>
      <w:r>
        <w:rPr/>
        <w:t>Entire Agreement</w:t>
      </w:r>
    </w:p>
    <w:p>
      <w:pPr>
        <w:pStyle w:val="Normal"/>
        <w:jc w:val="both"/>
        <w:rPr/>
      </w:pPr>
      <w:r>
        <w:rPr/>
      </w:r>
    </w:p>
    <w:p>
      <w:pPr>
        <w:pStyle w:val="Normal"/>
        <w:ind w:start="1440" w:end="0"/>
        <w:jc w:val="both"/>
        <w:rPr/>
      </w:pPr>
      <w:r>
        <w:rPr/>
        <w:t>This Agreement constitutes the entiere understanding and agreement of the parties with respect to the subject matter and supersedes all prior and contemporaneous agreements or understandings.  No amendment, modification, supplement or other purported alteration of this Agreement shall be binding upon the parties hereto unless it is in writing and is signed on behalf of the parties by their duly authorized representatives.</w:t>
      </w:r>
    </w:p>
    <w:p>
      <w:pPr>
        <w:pStyle w:val="Normal"/>
        <w:jc w:val="both"/>
        <w:rPr/>
      </w:pPr>
      <w:r>
        <w:rPr/>
      </w:r>
    </w:p>
    <w:p>
      <w:pPr>
        <w:pStyle w:val="Normal"/>
        <w:numPr>
          <w:ilvl w:val="0"/>
          <w:numId w:val="4"/>
        </w:numPr>
        <w:jc w:val="both"/>
        <w:rPr/>
      </w:pPr>
      <w:r>
        <w:rPr/>
        <w:t>Governing Law</w:t>
      </w:r>
    </w:p>
    <w:p>
      <w:pPr>
        <w:pStyle w:val="Normal"/>
        <w:rPr/>
      </w:pPr>
      <w:r>
        <w:rPr/>
      </w:r>
    </w:p>
    <w:p>
      <w:pPr>
        <w:pStyle w:val="Normal"/>
        <w:ind w:start="1440" w:end="0"/>
        <w:rPr/>
      </w:pPr>
      <w:r>
        <w:rPr/>
        <w:t>This Agreement shall be governed by the laws of the State of Texas.</w:t>
      </w:r>
    </w:p>
    <w:p>
      <w:pPr>
        <w:pStyle w:val="Normal"/>
        <w:ind w:start="1440" w:end="0"/>
        <w:rPr/>
      </w:pPr>
      <w:r>
        <w:rPr/>
      </w:r>
    </w:p>
    <w:p>
      <w:pPr>
        <w:pStyle w:val="Normal"/>
        <w:ind w:start="1440" w:end="0"/>
        <w:rPr/>
      </w:pPr>
      <w:r>
        <w:rPr/>
      </w:r>
    </w:p>
    <w:p>
      <w:pPr>
        <w:pStyle w:val="Normal"/>
        <w:rPr/>
      </w:pPr>
      <w:r>
        <w:rPr/>
        <w:t>IN WITNESS WHEREOF, the parties have executed this Agreement by their respective duly authorized representatives as of the date first above written.</w:t>
      </w:r>
    </w:p>
    <w:p>
      <w:pPr>
        <w:pStyle w:val="Normal"/>
        <w:rPr/>
      </w:pPr>
      <w:r>
        <w:rPr/>
      </w:r>
    </w:p>
    <w:p>
      <w:pPr>
        <w:pStyle w:val="Normal"/>
        <w:rPr/>
      </w:pPr>
      <w:r>
        <w:rPr/>
      </w:r>
    </w:p>
    <w:p>
      <w:pPr>
        <w:pStyle w:val="Normal"/>
        <w:rPr/>
      </w:pPr>
      <w:r>
        <w:rPr/>
      </w:r>
    </w:p>
    <w:p>
      <w:pPr>
        <w:pStyle w:val="Normal"/>
        <w:tabs>
          <w:tab w:val="clear" w:pos="720"/>
          <w:tab w:val="left" w:pos="5040" w:leader="none"/>
        </w:tabs>
        <w:rPr/>
      </w:pPr>
      <w:r>
        <w:rPr/>
        <w:t>ENRON CORP.</w:t>
        <w:tab/>
        <w:t>D-G ENERGY SYSTEMS</w:t>
      </w:r>
    </w:p>
    <w:p>
      <w:pPr>
        <w:pStyle w:val="Normal"/>
        <w:tabs>
          <w:tab w:val="clear" w:pos="720"/>
          <w:tab w:val="left" w:pos="5040" w:leader="none"/>
        </w:tabs>
        <w:rPr/>
      </w:pPr>
      <w:r>
        <w:rPr/>
      </w:r>
    </w:p>
    <w:p>
      <w:pPr>
        <w:pStyle w:val="Normal"/>
        <w:tabs>
          <w:tab w:val="left" w:pos="720" w:leader="none"/>
          <w:tab w:val="left" w:pos="3600" w:leader="none"/>
          <w:tab w:val="left" w:pos="5040" w:leader="none"/>
          <w:tab w:val="left" w:pos="5760" w:leader="none"/>
          <w:tab w:val="left" w:pos="8460" w:leader="none"/>
        </w:tabs>
        <w:rPr/>
      </w:pPr>
      <w:r>
        <w:rPr/>
        <w:t>By:</w:t>
        <w:tab/>
      </w:r>
      <w:r>
        <w:rPr>
          <w:u w:val="single"/>
        </w:rPr>
        <w:tab/>
      </w:r>
      <w:r>
        <w:rPr/>
        <w:tab/>
        <w:t>By:</w:t>
        <w:tab/>
      </w:r>
      <w:r>
        <w:rPr>
          <w:u w:val="single"/>
        </w:rPr>
        <w:tab/>
      </w:r>
    </w:p>
    <w:p>
      <w:pPr>
        <w:pStyle w:val="Normal"/>
        <w:tabs>
          <w:tab w:val="left" w:pos="720" w:leader="none"/>
          <w:tab w:val="left" w:pos="3600" w:leader="none"/>
          <w:tab w:val="left" w:pos="5040" w:leader="none"/>
          <w:tab w:val="left" w:pos="5760" w:leader="none"/>
          <w:tab w:val="left" w:pos="8460" w:leader="none"/>
        </w:tabs>
        <w:rPr/>
      </w:pPr>
      <w:r>
        <w:rPr/>
        <w:t>Name:</w:t>
        <w:tab/>
      </w:r>
      <w:r>
        <w:rPr>
          <w:u w:val="single"/>
        </w:rPr>
        <w:t>Philippe A. Bibi</w:t>
        <w:tab/>
      </w:r>
      <w:r>
        <w:rPr/>
        <w:tab/>
        <w:t>Name:</w:t>
        <w:tab/>
      </w:r>
      <w:r>
        <w:rPr>
          <w:u w:val="single"/>
        </w:rPr>
        <w:tab/>
      </w:r>
    </w:p>
    <w:p>
      <w:pPr>
        <w:pStyle w:val="Normal"/>
        <w:tabs>
          <w:tab w:val="left" w:pos="720" w:leader="none"/>
          <w:tab w:val="left" w:pos="3600" w:leader="none"/>
          <w:tab w:val="left" w:pos="5040" w:leader="none"/>
          <w:tab w:val="left" w:pos="5760" w:leader="none"/>
          <w:tab w:val="left" w:pos="8460" w:leader="none"/>
        </w:tabs>
        <w:rPr/>
      </w:pPr>
      <w:r>
        <w:rPr/>
        <w:t>Title:</w:t>
        <w:tab/>
      </w:r>
      <w:r>
        <w:rPr>
          <w:u w:val="single"/>
        </w:rPr>
        <w:t>V.P., Technology</w:t>
        <w:tab/>
      </w:r>
      <w:r>
        <w:rPr/>
        <w:tab/>
        <w:t>Title:</w:t>
        <w:tab/>
      </w:r>
      <w:r>
        <w:rPr>
          <w:u w:val="single"/>
        </w:rPr>
        <w:tab/>
      </w:r>
    </w:p>
    <w:p>
      <w:pPr>
        <w:pStyle w:val="Normal"/>
        <w:tabs>
          <w:tab w:val="left" w:pos="720" w:leader="none"/>
          <w:tab w:val="left" w:pos="3600" w:leader="none"/>
          <w:tab w:val="left" w:pos="5040" w:leader="none"/>
          <w:tab w:val="left" w:pos="5760" w:leader="none"/>
          <w:tab w:val="left" w:pos="8460" w:leader="none"/>
        </w:tabs>
        <w:rPr/>
      </w:pPr>
      <w:r>
        <w:rPr/>
        <w:t>Date:</w:t>
        <w:tab/>
      </w:r>
      <w:r>
        <w:rPr>
          <w:u w:val="single"/>
        </w:rPr>
        <w:tab/>
      </w:r>
      <w:r>
        <w:rPr/>
        <w:tab/>
        <w:t>Date:</w:t>
        <w:tab/>
      </w:r>
      <w:r>
        <w:rPr>
          <w:u w:val="single"/>
        </w:rPr>
        <w:tab/>
      </w:r>
    </w:p>
    <w:p>
      <w:pPr>
        <w:pStyle w:val="Normal"/>
        <w:tabs>
          <w:tab w:val="left" w:pos="720" w:leader="none"/>
          <w:tab w:val="left" w:pos="3960" w:leader="none"/>
        </w:tabs>
        <w:rPr>
          <w:u w:val="single"/>
        </w:rPr>
      </w:pPr>
      <w:r>
        <w:rPr>
          <w:u w:val="single"/>
        </w:rPr>
      </w:r>
    </w:p>
    <w:p>
      <w:pPr>
        <w:pStyle w:val="Normal"/>
        <w:tabs>
          <w:tab w:val="left" w:pos="720" w:leader="none"/>
          <w:tab w:val="left" w:pos="3960" w:leader="none"/>
        </w:tabs>
        <w:rPr>
          <w:u w:val="single"/>
        </w:rPr>
      </w:pPr>
      <w:r>
        <w:rPr>
          <w:u w:val="single"/>
        </w:rPr>
      </w:r>
    </w:p>
    <w:p>
      <w:pPr>
        <w:pStyle w:val="Normal"/>
        <w:rPr/>
      </w:pPr>
      <w:r>
        <w:rPr/>
        <w:t>BROWN, HART, KAPLAN &amp; GOLOWICH, LLP</w:t>
      </w:r>
    </w:p>
    <w:p>
      <w:pPr>
        <w:pStyle w:val="Normal"/>
        <w:rPr/>
      </w:pPr>
      <w:r>
        <w:rPr/>
      </w:r>
    </w:p>
    <w:p>
      <w:pPr>
        <w:pStyle w:val="Normal"/>
        <w:tabs>
          <w:tab w:val="left" w:pos="720" w:leader="none"/>
          <w:tab w:val="left" w:pos="3600" w:leader="none"/>
        </w:tabs>
        <w:rPr/>
      </w:pPr>
      <w:r>
        <w:rPr/>
        <w:t>By:</w:t>
        <w:tab/>
      </w:r>
      <w:r>
        <w:rPr>
          <w:u w:val="single"/>
        </w:rPr>
        <w:tab/>
      </w:r>
    </w:p>
    <w:p>
      <w:pPr>
        <w:pStyle w:val="Normal"/>
        <w:tabs>
          <w:tab w:val="left" w:pos="720" w:leader="none"/>
          <w:tab w:val="left" w:pos="3600" w:leader="none"/>
        </w:tabs>
        <w:rPr/>
      </w:pPr>
      <w:r>
        <w:rPr/>
        <w:t>Name:</w:t>
        <w:tab/>
      </w:r>
      <w:r>
        <w:rPr>
          <w:u w:val="single"/>
        </w:rPr>
        <w:tab/>
      </w:r>
    </w:p>
    <w:p>
      <w:pPr>
        <w:pStyle w:val="Normal"/>
        <w:tabs>
          <w:tab w:val="left" w:pos="720" w:leader="none"/>
          <w:tab w:val="left" w:pos="3600" w:leader="none"/>
        </w:tabs>
        <w:rPr/>
      </w:pPr>
      <w:r>
        <w:rPr/>
        <w:t>Title:</w:t>
        <w:tab/>
      </w:r>
      <w:r>
        <w:rPr>
          <w:u w:val="single"/>
        </w:rPr>
        <w:tab/>
      </w:r>
    </w:p>
    <w:p>
      <w:pPr>
        <w:pStyle w:val="Normal"/>
        <w:tabs>
          <w:tab w:val="left" w:pos="720" w:leader="none"/>
          <w:tab w:val="left" w:pos="3600" w:leader="none"/>
        </w:tabs>
        <w:rPr/>
      </w:pPr>
      <w:r>
        <w:rPr/>
        <w:t>Date:</w:t>
        <w:tab/>
      </w:r>
      <w:r>
        <w:rPr>
          <w:u w:val="single"/>
        </w:rPr>
        <w:tab/>
      </w:r>
    </w:p>
    <w:p>
      <w:pPr>
        <w:pStyle w:val="Normal"/>
        <w:tabs>
          <w:tab w:val="left" w:pos="720" w:leader="none"/>
          <w:tab w:val="left" w:pos="3960" w:leader="none"/>
        </w:tabs>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720" w:leader="none"/>
        <w:tab w:val="left" w:pos="0" w:leader="none"/>
      </w:tabs>
      <w:suppressAutoHyphens w:val="true"/>
      <w:ind w:hanging="1440" w:start="1440" w:end="0"/>
      <w:jc w:val="both"/>
    </w:pPr>
    <w:rPr>
      <w:spacing w:val="-3"/>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2000-09-12T16:39:00Z</dcterms:created>
  <dc:creator>kfeldma</dc:creator>
  <dc:description/>
  <dc:language>en-CA</dc:language>
  <cp:lastModifiedBy>kfeldma</cp:lastModifiedBy>
  <dcterms:modified xsi:type="dcterms:W3CDTF">2000-09-25T16:49:00Z</dcterms:modified>
  <cp:revision>11</cp:revision>
  <dc:subject/>
  <dc:title>SOFTWARE ESCROW AGREEMENT</dc:title>
</cp:coreProperties>
</file>