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rPr>
      </w:pPr>
      <w:r>
        <w:rPr>
          <w:rFonts w:cs="Times New Roman" w:ascii="Times New Roman" w:hAnsi="Times New Roman"/>
        </w:rPr>
        <w:t>STATE OF FLORIDA</w:t>
      </w:r>
    </w:p>
    <w:p>
      <w:pPr>
        <w:pStyle w:val="Normal"/>
        <w:jc w:val="center"/>
        <w:rPr>
          <w:rFonts w:ascii="Times New Roman" w:hAnsi="Times New Roman" w:cs="Times New Roman"/>
        </w:rPr>
      </w:pPr>
      <w:r>
        <w:rPr>
          <w:rFonts w:cs="Times New Roman" w:ascii="Times New Roman" w:hAnsi="Times New Roman"/>
        </w:rPr>
        <w:t>DIVISION OF ADMINISTRATIVE HEARINGS</w:t>
      </w:r>
    </w:p>
    <w:p>
      <w:pPr>
        <w:pStyle w:val="Normal"/>
        <w:rPr>
          <w:rFonts w:ascii="Times New Roman" w:hAnsi="Times New Roman" w:cs="Times New Roman"/>
        </w:rPr>
      </w:pPr>
      <w:r>
        <w:rPr>
          <w:rFonts w:cs="Times New Roman" w:ascii="Times New Roman" w:hAnsi="Times New Roman"/>
        </w:rPr>
      </w:r>
    </w:p>
    <w:tbl>
      <w:tblPr>
        <w:tblW w:w="9216" w:type="dxa"/>
        <w:jc w:val="start"/>
        <w:tblInd w:w="0" w:type="dxa"/>
        <w:tblLayout w:type="fixed"/>
        <w:tblCellMar>
          <w:top w:w="0" w:type="dxa"/>
          <w:start w:w="108" w:type="dxa"/>
          <w:bottom w:w="0" w:type="dxa"/>
          <w:end w:w="108" w:type="dxa"/>
        </w:tblCellMar>
      </w:tblPr>
      <w:tblGrid>
        <w:gridCol w:w="4878"/>
        <w:gridCol w:w="4338"/>
      </w:tblGrid>
      <w:tr>
        <w:trPr/>
        <w:tc>
          <w:tcPr>
            <w:tcW w:w="4878" w:type="dxa"/>
            <w:tcBorders>
              <w:bottom w:val="single" w:sz="6"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CITY OF CORAL SPRINGS, CITY OF MARGATE and CITY OF COCONUT CREEK,</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Petitioners,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v.</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STATE OF FLORIDA DEPARTMENT OF ENVIRONMENTAL PROTECTION, and POMPANO BEACH ENERGY CENTER, L.L.C. (AN AFFILIATE OF ENRON NORTH AMERICA),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Respondents,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and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BROWARD COUNTY,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Intervenor</w:t>
            </w:r>
          </w:p>
        </w:tc>
        <w:tc>
          <w:tcPr>
            <w:tcW w:w="4338" w:type="dxa"/>
            <w:tcBorders>
              <w:start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mallCaps/>
              </w:rPr>
            </w:pPr>
            <w:r>
              <w:rPr>
                <w:rFonts w:cs="Times New Roman" w:ascii="Times New Roman" w:hAnsi="Times New Roman"/>
                <w:smallCaps/>
              </w:rPr>
              <w:t>Consolidated</w:t>
            </w:r>
          </w:p>
          <w:p>
            <w:pPr>
              <w:pStyle w:val="Normal"/>
              <w:jc w:val="center"/>
              <w:rPr>
                <w:rFonts w:ascii="Times New Roman" w:hAnsi="Times New Roman" w:cs="Times New Roman"/>
                <w:smallCaps/>
              </w:rPr>
            </w:pPr>
            <w:r>
              <w:rPr>
                <w:rFonts w:cs="Times New Roman" w:ascii="Times New Roman" w:hAnsi="Times New Roman"/>
                <w:smallCaps/>
              </w:rPr>
            </w:r>
          </w:p>
          <w:p>
            <w:pPr>
              <w:pStyle w:val="Normal"/>
              <w:jc w:val="center"/>
              <w:rPr/>
            </w:pPr>
            <w:r>
              <w:rPr>
                <w:rFonts w:cs="Times New Roman" w:ascii="Times New Roman" w:hAnsi="Times New Roman"/>
              </w:rPr>
              <w:t xml:space="preserve">DOAH </w:t>
            </w:r>
            <w:r>
              <w:rPr>
                <w:rFonts w:cs="Times New Roman" w:ascii="Times New Roman" w:hAnsi="Times New Roman"/>
                <w:smallCaps/>
              </w:rPr>
              <w:t>Case Nos.</w:t>
              <w:tab/>
              <w:t>01-2682</w:t>
            </w:r>
          </w:p>
          <w:p>
            <w:pPr>
              <w:pStyle w:val="Normal"/>
              <w:tabs>
                <w:tab w:val="clear" w:pos="2160"/>
                <w:tab w:val="left" w:pos="720" w:leader="none"/>
                <w:tab w:val="left" w:pos="1440" w:leader="none"/>
                <w:tab w:val="left" w:pos="1872" w:leader="none"/>
                <w:tab w:val="left" w:pos="2592" w:leader="none"/>
                <w:tab w:val="left" w:pos="5040" w:leader="none"/>
              </w:tabs>
              <w:jc w:val="center"/>
              <w:rPr>
                <w:rFonts w:ascii="Times New Roman" w:hAnsi="Times New Roman" w:cs="Times New Roman"/>
                <w:smallCaps/>
              </w:rPr>
            </w:pPr>
            <w:r>
              <w:rPr>
                <w:rFonts w:cs="Times New Roman" w:ascii="Times New Roman" w:hAnsi="Times New Roman"/>
                <w:smallCaps/>
              </w:rPr>
              <w:tab/>
              <w:tab/>
              <w:tab/>
              <w:t xml:space="preserve">    01-2683</w:t>
            </w:r>
          </w:p>
          <w:p>
            <w:pPr>
              <w:pStyle w:val="Normal"/>
              <w:tabs>
                <w:tab w:val="left" w:pos="720" w:leader="none"/>
                <w:tab w:val="left" w:pos="1440" w:leader="none"/>
                <w:tab w:val="left" w:pos="2160" w:leader="none"/>
                <w:tab w:val="left" w:pos="2592" w:leader="none"/>
                <w:tab w:val="left" w:pos="5040" w:leader="none"/>
              </w:tabs>
              <w:jc w:val="center"/>
              <w:rPr>
                <w:rFonts w:ascii="Times New Roman" w:hAnsi="Times New Roman" w:cs="Times New Roman"/>
                <w:smallCaps/>
              </w:rPr>
            </w:pPr>
            <w:r>
              <w:rPr>
                <w:rFonts w:cs="Times New Roman" w:ascii="Times New Roman" w:hAnsi="Times New Roman"/>
                <w:smallCaps/>
              </w:rPr>
              <w:tab/>
              <w:tab/>
              <w:tab/>
              <w:t>01-2684</w:t>
            </w:r>
          </w:p>
          <w:p>
            <w:pPr>
              <w:pStyle w:val="Normal"/>
              <w:rPr>
                <w:rFonts w:ascii="Times New Roman" w:hAnsi="Times New Roman" w:cs="Times New Roman"/>
                <w:smallCaps/>
              </w:rPr>
            </w:pPr>
            <w:r>
              <w:rPr>
                <w:rFonts w:cs="Times New Roman" w:ascii="Times New Roman" w:hAnsi="Times New Roman"/>
                <w:smallCaps/>
              </w:rPr>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POMPANO BEACH ENERGY CENTER’S</w:t>
      </w:r>
    </w:p>
    <w:p>
      <w:pPr>
        <w:pStyle w:val="Normal"/>
        <w:jc w:val="center"/>
        <w:rPr>
          <w:rFonts w:ascii="Times New Roman" w:hAnsi="Times New Roman" w:cs="Times New Roman"/>
          <w:b/>
        </w:rPr>
      </w:pPr>
      <w:r>
        <w:rPr>
          <w:rFonts w:cs="Times New Roman" w:ascii="Times New Roman" w:hAnsi="Times New Roman"/>
          <w:b/>
        </w:rPr>
        <w:t>RESPONSE TO DEP’S</w:t>
      </w:r>
    </w:p>
    <w:p>
      <w:pPr>
        <w:pStyle w:val="Normal"/>
        <w:jc w:val="center"/>
        <w:rPr>
          <w:rFonts w:ascii="Times New Roman" w:hAnsi="Times New Roman" w:cs="Times New Roman"/>
          <w:b/>
        </w:rPr>
      </w:pPr>
      <w:r>
        <w:rPr>
          <w:rFonts w:cs="Times New Roman" w:ascii="Times New Roman" w:hAnsi="Times New Roman"/>
          <w:b/>
        </w:rPr>
        <w:t>NOTICE OF CHANGE</w:t>
      </w:r>
    </w:p>
    <w:p>
      <w:pPr>
        <w:pStyle w:val="Normal"/>
        <w:spacing w:lineRule="auto" w:line="360"/>
        <w:jc w:val="center"/>
        <w:rPr>
          <w:rFonts w:ascii="Times New Roman" w:hAnsi="Times New Roman" w:cs="Times New Roman"/>
          <w:b/>
        </w:rPr>
      </w:pPr>
      <w:r>
        <w:rPr>
          <w:rFonts w:cs="Times New Roman" w:ascii="Times New Roman" w:hAnsi="Times New Roman"/>
          <w:b/>
          <w:u w:val="single"/>
        </w:rPr>
        <w:t>OF AGENCY POSITION</w:t>
      </w:r>
    </w:p>
    <w:p>
      <w:pPr>
        <w:pStyle w:val="Double"/>
        <w:rPr/>
      </w:pPr>
      <w:r>
        <w:rPr>
          <w:rFonts w:cs="Times New Roman" w:ascii="Times New Roman" w:hAnsi="Times New Roman"/>
        </w:rPr>
        <w:tab/>
        <w:t>Respondent, Pompano Beach Energy Center, L.L.C. (“Energy Center”), acknowledges receipt of the October 25, 2001 Notice of Change of Agency Position submitted by the Department of Environmental Protection (“DEP”) in this matter.  Energy Center respectfully submits and contends that DEP should issue the permit as described in the DEP’s March 10, 2001 Intent to Issue Air Construction Permit (</w:t>
      </w:r>
      <w:r>
        <w:rPr>
          <w:rFonts w:cs="Times New Roman" w:ascii="Times New Roman" w:hAnsi="Times New Roman"/>
          <w:i/>
          <w:iCs/>
        </w:rPr>
        <w:t>i.e.,</w:t>
      </w:r>
      <w:r>
        <w:rPr>
          <w:rFonts w:cs="Times New Roman" w:ascii="Times New Roman" w:hAnsi="Times New Roman"/>
        </w:rPr>
        <w:t xml:space="preserve"> the permit to which petitioners have objected).  The March 10, 2001 draft permit meets all applicable regulatory requirements, including BACT, where applicable.  In contrast, the changes currently proposed by DEP, to the extent they can be inferred from the Notice of Change of Agency Position, are unnecessary, unduly restrictive, and inappropriate under the regulations.</w:t>
      </w:r>
    </w:p>
    <w:p>
      <w:pPr>
        <w:pStyle w:val="Double"/>
        <w:rPr>
          <w:rFonts w:ascii="Times New Roman" w:hAnsi="Times New Roman" w:cs="Times New Roman"/>
        </w:rPr>
      </w:pPr>
      <w:r>
        <w:rPr>
          <w:rFonts w:cs="Times New Roman" w:ascii="Times New Roman" w:hAnsi="Times New Roman"/>
        </w:rPr>
        <w:tab/>
        <w:t>In light of DEP’s belated change of position, Energy Center will be submitting evidence at the hearing in support of the original intent to issue.  Additionally, DEP should be required to specifically identify the specific textual changes in the permit that would result from its belated change of position, so that all parties will know precisely what is being placed at issue.  Finally, given the late stage of these proceedings at which DEP has changed its position, DEP should also be required to respond, on an expedited basis, to the discovery requests that will be propounded by Energy Center in light of DEP’s change of position.  (Energy Center will consult with DEP in an effort to resolve the latter point by agreement).</w:t>
      </w:r>
    </w:p>
    <w:p>
      <w:pPr>
        <w:pStyle w:val="Double"/>
        <w:rPr>
          <w:rFonts w:ascii="Times New Roman" w:hAnsi="Times New Roman" w:cs="Times New Roman"/>
        </w:rPr>
      </w:pPr>
      <w:r>
        <w:rPr>
          <w:rFonts w:cs="Times New Roman" w:ascii="Times New Roman" w:hAnsi="Times New Roman"/>
        </w:rPr>
        <w:tab/>
        <w:t>Accordingly, Energy Center respectfully requests that the hearing officer (1) enter a Recommended Order finding that DEP should issue the permit as originally proposed by DEP, and (2) require DEP to specifically identify the specific textual changes in the permit that would result from its change of position.</w:t>
      </w:r>
    </w:p>
    <w:p>
      <w:pPr>
        <w:pStyle w:val="Normal"/>
        <w:spacing w:before="0" w:after="240"/>
        <w:ind w:firstLine="720" w:end="0"/>
        <w:jc w:val="both"/>
        <w:rPr>
          <w:rFonts w:ascii="Times New Roman" w:hAnsi="Times New Roman" w:cs="Times New Roman"/>
        </w:rPr>
      </w:pPr>
      <w:r>
        <w:rPr>
          <w:rFonts w:cs="Times New Roman" w:ascii="Times New Roman" w:hAnsi="Times New Roman"/>
        </w:rPr>
      </w:r>
    </w:p>
    <w:p>
      <w:pPr>
        <w:pStyle w:val="Double"/>
        <w:tabs>
          <w:tab w:val="clear" w:pos="720"/>
          <w:tab w:val="clear" w:pos="1440"/>
          <w:tab w:val="clear" w:pos="2160"/>
          <w:tab w:val="clear" w:pos="5040"/>
        </w:tabs>
        <w:spacing w:lineRule="auto" w:line="240"/>
        <w:ind w:start="720" w:end="720"/>
        <w:rPr>
          <w:rFonts w:ascii="Times New Roman" w:hAnsi="Times New Roman" w:cs="Times New Roman"/>
        </w:rPr>
      </w:pPr>
      <w:r>
        <w:rPr>
          <w:rFonts w:cs="Times New Roman" w:ascii="Times New Roman" w:hAnsi="Times New Roman"/>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rFonts w:ascii="Times New Roman" w:hAnsi="Times New Roman" w:cs="Times New Roman"/>
              </w:rPr>
            </w:pPr>
            <w:r>
              <w:rPr>
                <w:rFonts w:cs="Times New Roman" w:ascii="Times New Roman" w:hAnsi="Times New Roman"/>
              </w:rPr>
            </w:r>
          </w:p>
        </w:tc>
        <w:tc>
          <w:tcPr>
            <w:tcW w:w="4788" w:type="dxa"/>
            <w:tcBorders/>
          </w:tcPr>
          <w:p>
            <w:pPr>
              <w:pStyle w:val="Normal"/>
              <w:keepNext w:val="true"/>
              <w:keepLines/>
              <w:rPr>
                <w:rFonts w:ascii="Times New Roman" w:hAnsi="Times New Roman" w:cs="Times New Roman"/>
              </w:rPr>
            </w:pPr>
            <w:r>
              <w:rPr>
                <w:rFonts w:cs="Times New Roman" w:ascii="Times New Roman" w:hAnsi="Times New Roman"/>
              </w:rPr>
              <w:t>Respectfully submitted,</w:t>
            </w:r>
          </w:p>
          <w:p>
            <w:pPr>
              <w:pStyle w:val="Normal"/>
              <w:keepNext w:val="true"/>
              <w:keepLines/>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rPr>
              <w:t>Kerri L. Barsh, Esq.</w:t>
            </w:r>
          </w:p>
          <w:p>
            <w:pPr>
              <w:pStyle w:val="Normal"/>
              <w:keepLine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Florida Bar No. 443840</w:t>
            </w:r>
          </w:p>
          <w:p>
            <w:pPr>
              <w:pStyle w:val="Normal"/>
              <w:keepLines/>
              <w:rPr>
                <w:rFonts w:ascii="Times New Roman" w:hAnsi="Times New Roman" w:cs="Times New Roman"/>
              </w:rPr>
            </w:pPr>
            <w:r>
              <w:rPr>
                <w:rFonts w:cs="Times New Roman" w:ascii="Times New Roman" w:hAnsi="Times New Roman"/>
              </w:rPr>
              <w:t>C. Ryan Reetz</w:t>
            </w:r>
          </w:p>
          <w:p>
            <w:pPr>
              <w:pStyle w:val="Normal"/>
              <w:keepLine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Florida Bar No. 934062</w:t>
            </w:r>
          </w:p>
          <w:p>
            <w:pPr>
              <w:pStyle w:val="Normal"/>
              <w:keepLines/>
              <w:rPr>
                <w:rFonts w:ascii="Times New Roman" w:hAnsi="Times New Roman" w:cs="Times New Roman"/>
              </w:rPr>
            </w:pPr>
            <w:r>
              <w:rPr>
                <w:rFonts w:cs="Times New Roman" w:ascii="Times New Roman" w:hAnsi="Times New Roman"/>
              </w:rPr>
              <w:t>Paul C. Savage, Esq.</w:t>
            </w:r>
          </w:p>
          <w:p>
            <w:pPr>
              <w:pStyle w:val="Normal"/>
              <w:keepLine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Florida Bar No. 088587</w:t>
            </w:r>
          </w:p>
          <w:p>
            <w:pPr>
              <w:pStyle w:val="Normal"/>
              <w:keepLines/>
              <w:rPr>
                <w:rFonts w:ascii="Times New Roman" w:hAnsi="Times New Roman" w:cs="Times New Roman"/>
              </w:rPr>
            </w:pPr>
            <w:r>
              <w:rPr>
                <w:rFonts w:cs="Times New Roman" w:ascii="Times New Roman" w:hAnsi="Times New Roman"/>
              </w:rPr>
              <w:t>Greenberg Traurig, P.A.</w:t>
            </w:r>
          </w:p>
          <w:p>
            <w:pPr>
              <w:pStyle w:val="Normal"/>
              <w:keepLines/>
              <w:rPr>
                <w:rFonts w:ascii="Times New Roman" w:hAnsi="Times New Roman" w:cs="Times New Roman"/>
              </w:rPr>
            </w:pPr>
            <w:r>
              <w:rPr>
                <w:rFonts w:cs="Times New Roman" w:ascii="Times New Roman" w:hAnsi="Times New Roman"/>
              </w:rPr>
              <w:t>1221 Brickell Avenue</w:t>
            </w:r>
          </w:p>
          <w:p>
            <w:pPr>
              <w:pStyle w:val="Normal"/>
              <w:keepLines/>
              <w:rPr>
                <w:rFonts w:ascii="Times New Roman" w:hAnsi="Times New Roman" w:cs="Times New Roman"/>
              </w:rPr>
            </w:pPr>
            <w:r>
              <w:rPr>
                <w:rFonts w:cs="Times New Roman" w:ascii="Times New Roman" w:hAnsi="Times New Roman"/>
              </w:rPr>
              <w:t>Miami, Florida 33131</w:t>
            </w:r>
          </w:p>
          <w:p>
            <w:pPr>
              <w:pStyle w:val="Normal"/>
              <w:keepLines/>
              <w:rPr>
                <w:rFonts w:ascii="Times New Roman" w:hAnsi="Times New Roman" w:cs="Times New Roman"/>
              </w:rPr>
            </w:pPr>
            <w:r>
              <w:rPr>
                <w:rFonts w:cs="Times New Roman" w:ascii="Times New Roman" w:hAnsi="Times New Roman"/>
              </w:rPr>
              <w:t>Telephone:  (305) 579-0500</w:t>
            </w:r>
          </w:p>
          <w:p>
            <w:pPr>
              <w:pStyle w:val="Normal"/>
              <w:keepLines/>
              <w:rPr>
                <w:rFonts w:ascii="Times New Roman" w:hAnsi="Times New Roman" w:cs="Times New Roman"/>
              </w:rPr>
            </w:pPr>
            <w:r>
              <w:rPr>
                <w:rFonts w:cs="Times New Roman" w:ascii="Times New Roman" w:hAnsi="Times New Roman"/>
              </w:rPr>
              <w:t>Facsimile:  (305) 579-0717</w:t>
            </w:r>
          </w:p>
          <w:p>
            <w:pPr>
              <w:pStyle w:val="Normal"/>
              <w:keepLines/>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rPr>
            </w:r>
          </w:p>
          <w:p>
            <w:pPr>
              <w:pStyle w:val="Normal"/>
              <w:keepLines/>
              <w:tabs>
                <w:tab w:val="clear" w:pos="5040"/>
                <w:tab w:val="left" w:pos="720" w:leader="none"/>
                <w:tab w:val="left" w:pos="1440" w:leader="none"/>
                <w:tab w:val="left" w:pos="2160" w:leader="none"/>
                <w:tab w:val="left" w:pos="4302" w:leader="none"/>
              </w:tabs>
              <w:rPr/>
            </w:pPr>
            <w:r>
              <w:rPr>
                <w:rFonts w:cs="Times New Roman" w:ascii="Times New Roman" w:hAnsi="Times New Roman"/>
              </w:rPr>
              <w:t>By:</w:t>
            </w:r>
            <w:r>
              <w:rPr>
                <w:rFonts w:cs="Times New Roman" w:ascii="Times New Roman" w:hAnsi="Times New Roman"/>
                <w:u w:val="single"/>
              </w:rPr>
              <w:tab/>
              <w:tab/>
              <w:tab/>
              <w:tab/>
            </w:r>
          </w:p>
          <w:p>
            <w:pPr>
              <w:pStyle w:val="Normal"/>
              <w:keepLines/>
              <w:jc w:val="center"/>
              <w:rPr>
                <w:rFonts w:ascii="Times New Roman" w:hAnsi="Times New Roman" w:cs="Times New Roman"/>
              </w:rPr>
            </w:pPr>
            <w:r>
              <w:rPr>
                <w:rFonts w:cs="Times New Roman" w:ascii="Times New Roman" w:hAnsi="Times New Roman"/>
              </w:rPr>
              <w:t>C. Ryan Reetz</w:t>
            </w:r>
          </w:p>
          <w:p>
            <w:pPr>
              <w:pStyle w:val="Normal"/>
              <w:keepLines/>
              <w:rPr>
                <w:rFonts w:ascii="Times New Roman" w:hAnsi="Times New Roman" w:cs="Times New Roman"/>
              </w:rPr>
            </w:pPr>
            <w:r>
              <w:rPr>
                <w:rFonts w:cs="Times New Roman" w:ascii="Times New Roman" w:hAnsi="Times New Roman"/>
              </w:rPr>
            </w:r>
          </w:p>
          <w:p>
            <w:pPr>
              <w:pStyle w:val="Normal"/>
              <w:keepLines/>
              <w:rPr>
                <w:rFonts w:ascii="Times New Roman" w:hAnsi="Times New Roman" w:cs="Times New Roman"/>
              </w:rPr>
            </w:pPr>
            <w:r>
              <w:rPr>
                <w:rFonts w:cs="Times New Roman" w:ascii="Times New Roman" w:hAnsi="Times New Roman"/>
                <w:i/>
              </w:rPr>
              <w:t>Counsel for Pompano Beach Energy, L.L.C.</w:t>
            </w:r>
          </w:p>
          <w:p>
            <w:pPr>
              <w:pStyle w:val="Normal"/>
              <w:rPr>
                <w:rFonts w:ascii="Times New Roman" w:hAnsi="Times New Roman" w:cs="Times New Roman"/>
              </w:rPr>
            </w:pPr>
            <w:r>
              <w:rPr>
                <w:rFonts w:cs="Times New Roman" w:ascii="Times New Roman" w:hAnsi="Times New Roman"/>
              </w:rPr>
            </w:r>
          </w:p>
        </w:tc>
      </w:tr>
    </w:tbl>
    <w:p>
      <w:pPr>
        <w:pStyle w:val="Double"/>
        <w:spacing w:lineRule="auto" w:line="240"/>
        <w:rPr>
          <w:rFonts w:ascii="Times New Roman" w:hAnsi="Times New Roman" w:cs="Times New Roman"/>
        </w:rPr>
      </w:pPr>
      <w:r>
        <w:rPr>
          <w:rFonts w:cs="Times New Roman" w:ascii="Times New Roman" w:hAnsi="Times New Roman"/>
        </w:rPr>
      </w:r>
      <w:r>
        <w:br w:type="page"/>
      </w:r>
    </w:p>
    <w:p>
      <w:pPr>
        <w:pStyle w:val="Double"/>
        <w:spacing w:lineRule="auto" w:line="240"/>
        <w:jc w:val="center"/>
        <w:rPr>
          <w:rFonts w:ascii="Times New Roman" w:hAnsi="Times New Roman" w:cs="Times New Roman"/>
          <w:b/>
          <w:bCs/>
          <w:u w:val="single"/>
        </w:rPr>
      </w:pPr>
      <w:r>
        <w:rPr>
          <w:rFonts w:cs="Times New Roman" w:ascii="Times New Roman" w:hAnsi="Times New Roman"/>
          <w:b/>
          <w:bCs/>
          <w:u w:val="single"/>
        </w:rPr>
        <w:t>CERTIFICATE OF SERVICE</w:t>
      </w:r>
    </w:p>
    <w:p>
      <w:pPr>
        <w:pStyle w:val="Double"/>
        <w:spacing w:before="0" w:after="240"/>
        <w:rPr>
          <w:rFonts w:ascii="Times New Roman" w:hAnsi="Times New Roman" w:cs="Times New Roman"/>
        </w:rPr>
      </w:pPr>
      <w:r>
        <w:rPr>
          <w:rFonts w:cs="Times New Roman" w:ascii="Times New Roman" w:hAnsi="Times New Roman"/>
        </w:rPr>
        <w:tab/>
        <w:t>I certify that copies of the foregoing document were served by U.S. Mail on October 29, 2001 to:</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Times New Roman" w:hAnsi="Times New Roman" w:cs="Times New Roman"/>
              </w:rPr>
            </w:pPr>
            <w:r>
              <w:rPr>
                <w:rFonts w:cs="Times New Roman" w:ascii="Times New Roman" w:hAnsi="Times New Roman"/>
              </w:rPr>
              <w:t>Martha L. Nebelsiek, Esq.</w:t>
            </w:r>
          </w:p>
          <w:p>
            <w:pPr>
              <w:pStyle w:val="Normal"/>
              <w:rPr>
                <w:rFonts w:ascii="Times New Roman" w:hAnsi="Times New Roman" w:cs="Times New Roman"/>
              </w:rPr>
            </w:pPr>
            <w:r>
              <w:rPr>
                <w:rFonts w:cs="Times New Roman" w:ascii="Times New Roman" w:hAnsi="Times New Roman"/>
              </w:rPr>
              <w:t>Department of Environmental Protection</w:t>
            </w:r>
          </w:p>
          <w:p>
            <w:pPr>
              <w:pStyle w:val="Normal"/>
              <w:rPr>
                <w:rFonts w:ascii="Times New Roman" w:hAnsi="Times New Roman" w:cs="Times New Roman"/>
              </w:rPr>
            </w:pPr>
            <w:r>
              <w:rPr>
                <w:rFonts w:cs="Times New Roman" w:ascii="Times New Roman" w:hAnsi="Times New Roman"/>
              </w:rPr>
              <w:t>3900 Commonwealth Boulevard</w:t>
            </w:r>
          </w:p>
          <w:p>
            <w:pPr>
              <w:pStyle w:val="Normal"/>
              <w:rPr>
                <w:rFonts w:ascii="Times New Roman" w:hAnsi="Times New Roman" w:cs="Times New Roman"/>
              </w:rPr>
            </w:pPr>
            <w:r>
              <w:rPr>
                <w:rFonts w:cs="Times New Roman" w:ascii="Times New Roman" w:hAnsi="Times New Roman"/>
              </w:rPr>
              <w:t xml:space="preserve">Tallahassee, Florida  32399-3000 </w:t>
            </w:r>
          </w:p>
          <w:p>
            <w:pPr>
              <w:pStyle w:val="Normal"/>
              <w:rPr>
                <w:rFonts w:ascii="Times New Roman" w:hAnsi="Times New Roman" w:cs="Times New Roman"/>
              </w:rPr>
            </w:pPr>
            <w:r>
              <w:rPr>
                <w:rFonts w:cs="Times New Roman" w:ascii="Times New Roman" w:hAnsi="Times New Roman"/>
              </w:rPr>
            </w:r>
          </w:p>
        </w:tc>
        <w:tc>
          <w:tcPr>
            <w:tcW w:w="4788" w:type="dxa"/>
            <w:tcBorders/>
          </w:tcPr>
          <w:p>
            <w:pPr>
              <w:pStyle w:val="Normal"/>
              <w:rPr>
                <w:rFonts w:ascii="Times New Roman" w:hAnsi="Times New Roman" w:cs="Times New Roman"/>
              </w:rPr>
            </w:pPr>
            <w:r>
              <w:rPr>
                <w:rFonts w:cs="Times New Roman" w:ascii="Times New Roman" w:hAnsi="Times New Roman"/>
              </w:rPr>
              <w:t>John Hearn, Esq.</w:t>
            </w:r>
          </w:p>
          <w:p>
            <w:pPr>
              <w:pStyle w:val="Normal"/>
              <w:rPr>
                <w:rFonts w:ascii="Times New Roman" w:hAnsi="Times New Roman" w:cs="Times New Roman"/>
              </w:rPr>
            </w:pPr>
            <w:r>
              <w:rPr>
                <w:rFonts w:cs="Times New Roman" w:ascii="Times New Roman" w:hAnsi="Times New Roman"/>
              </w:rPr>
              <w:t>City of Coral Springs</w:t>
            </w:r>
          </w:p>
          <w:p>
            <w:pPr>
              <w:pStyle w:val="Normal"/>
              <w:rPr>
                <w:rFonts w:ascii="Times New Roman" w:hAnsi="Times New Roman" w:cs="Times New Roman"/>
              </w:rPr>
            </w:pPr>
            <w:r>
              <w:rPr>
                <w:rFonts w:cs="Times New Roman" w:ascii="Times New Roman" w:hAnsi="Times New Roman"/>
              </w:rPr>
              <w:t>9551 West Sample Road</w:t>
            </w:r>
          </w:p>
          <w:p>
            <w:pPr>
              <w:pStyle w:val="Normal"/>
              <w:rPr>
                <w:rFonts w:ascii="Times New Roman" w:hAnsi="Times New Roman" w:cs="Times New Roman"/>
              </w:rPr>
            </w:pPr>
            <w:r>
              <w:rPr>
                <w:rFonts w:cs="Times New Roman" w:ascii="Times New Roman" w:hAnsi="Times New Roman"/>
              </w:rPr>
              <w:t>Coral Springs, Florida  33065</w:t>
            </w:r>
          </w:p>
        </w:tc>
      </w:tr>
      <w:tr>
        <w:trPr/>
        <w:tc>
          <w:tcPr>
            <w:tcW w:w="4788" w:type="dxa"/>
            <w:tcBorders/>
          </w:tcPr>
          <w:p>
            <w:pPr>
              <w:pStyle w:val="Normal"/>
              <w:rPr>
                <w:rFonts w:ascii="Times New Roman" w:hAnsi="Times New Roman" w:cs="Times New Roman"/>
              </w:rPr>
            </w:pPr>
            <w:r>
              <w:rPr>
                <w:rFonts w:cs="Times New Roman" w:ascii="Times New Roman" w:hAnsi="Times New Roman"/>
              </w:rPr>
              <w:t>Eugene M. Steinfield, Esq.</w:t>
            </w:r>
          </w:p>
          <w:p>
            <w:pPr>
              <w:pStyle w:val="Normal"/>
              <w:rPr>
                <w:rFonts w:ascii="Times New Roman" w:hAnsi="Times New Roman" w:cs="Times New Roman"/>
              </w:rPr>
            </w:pPr>
            <w:r>
              <w:rPr>
                <w:rFonts w:cs="Times New Roman" w:ascii="Times New Roman" w:hAnsi="Times New Roman"/>
              </w:rPr>
              <w:t>City of Margate</w:t>
            </w:r>
          </w:p>
          <w:p>
            <w:pPr>
              <w:pStyle w:val="Normal"/>
              <w:rPr>
                <w:rFonts w:ascii="Times New Roman" w:hAnsi="Times New Roman" w:cs="Times New Roman"/>
              </w:rPr>
            </w:pPr>
            <w:r>
              <w:rPr>
                <w:rFonts w:cs="Times New Roman" w:ascii="Times New Roman" w:hAnsi="Times New Roman"/>
              </w:rPr>
              <w:t>5790 Margate Boulevard</w:t>
            </w:r>
          </w:p>
          <w:p>
            <w:pPr>
              <w:pStyle w:val="Normal"/>
              <w:rPr>
                <w:rFonts w:ascii="Times New Roman" w:hAnsi="Times New Roman" w:cs="Times New Roman"/>
              </w:rPr>
            </w:pPr>
            <w:r>
              <w:rPr>
                <w:rFonts w:cs="Times New Roman" w:ascii="Times New Roman" w:hAnsi="Times New Roman"/>
              </w:rPr>
              <w:t>Margate, Florida  33063</w:t>
            </w:r>
          </w:p>
          <w:p>
            <w:pPr>
              <w:pStyle w:val="Normal"/>
              <w:rPr>
                <w:rFonts w:ascii="Times New Roman" w:hAnsi="Times New Roman" w:cs="Times New Roman"/>
              </w:rPr>
            </w:pPr>
            <w:r>
              <w:rPr>
                <w:rFonts w:cs="Times New Roman" w:ascii="Times New Roman" w:hAnsi="Times New Roman"/>
              </w:rPr>
            </w:r>
          </w:p>
        </w:tc>
        <w:tc>
          <w:tcPr>
            <w:tcW w:w="4788" w:type="dxa"/>
            <w:tcBorders/>
          </w:tcPr>
          <w:p>
            <w:pPr>
              <w:pStyle w:val="Normal"/>
              <w:autoSpaceDE w:val="false"/>
              <w:rPr>
                <w:rFonts w:ascii="Times New Roman" w:hAnsi="Times New Roman" w:cs="Times New Roman"/>
                <w:color w:val="000000"/>
                <w:szCs w:val="20"/>
              </w:rPr>
            </w:pPr>
            <w:r>
              <w:rPr>
                <w:rFonts w:cs="Times New Roman" w:ascii="Times New Roman" w:hAnsi="Times New Roman"/>
                <w:color w:val="000000"/>
                <w:szCs w:val="20"/>
              </w:rPr>
              <w:t>Paul S. Stuart, Esq.</w:t>
            </w:r>
          </w:p>
          <w:p>
            <w:pPr>
              <w:pStyle w:val="Normal"/>
              <w:autoSpaceDE w:val="false"/>
              <w:rPr>
                <w:rFonts w:ascii="Times New Roman" w:hAnsi="Times New Roman" w:cs="Times New Roman"/>
                <w:color w:val="000000"/>
                <w:szCs w:val="20"/>
              </w:rPr>
            </w:pPr>
            <w:r>
              <w:rPr>
                <w:rFonts w:cs="Times New Roman" w:ascii="Times New Roman" w:hAnsi="Times New Roman"/>
                <w:color w:val="000000"/>
                <w:szCs w:val="20"/>
              </w:rPr>
              <w:t>City of Coconut Creek</w:t>
            </w:r>
          </w:p>
          <w:p>
            <w:pPr>
              <w:pStyle w:val="Normal"/>
              <w:autoSpaceDE w:val="false"/>
              <w:rPr>
                <w:rFonts w:ascii="Times New Roman" w:hAnsi="Times New Roman" w:cs="Times New Roman"/>
                <w:color w:val="000000"/>
                <w:szCs w:val="20"/>
              </w:rPr>
            </w:pPr>
            <w:r>
              <w:rPr>
                <w:rFonts w:cs="Times New Roman" w:ascii="Times New Roman" w:hAnsi="Times New Roman"/>
                <w:color w:val="000000"/>
                <w:szCs w:val="20"/>
              </w:rPr>
              <w:t>4900 W. Copans Rd.</w:t>
            </w:r>
          </w:p>
          <w:p>
            <w:pPr>
              <w:pStyle w:val="Normal"/>
              <w:rPr>
                <w:rFonts w:ascii="Times New Roman" w:hAnsi="Times New Roman" w:cs="Times New Roman"/>
              </w:rPr>
            </w:pPr>
            <w:r>
              <w:rPr>
                <w:rFonts w:cs="Times New Roman" w:ascii="Times New Roman" w:hAnsi="Times New Roman"/>
                <w:color w:val="000000"/>
                <w:szCs w:val="20"/>
              </w:rPr>
              <w:t>Coconut Creek, FL 33062</w:t>
            </w:r>
          </w:p>
        </w:tc>
      </w:tr>
      <w:tr>
        <w:trPr/>
        <w:tc>
          <w:tcPr>
            <w:tcW w:w="4788" w:type="dxa"/>
            <w:tcBorders/>
          </w:tcPr>
          <w:p>
            <w:pPr>
              <w:pStyle w:val="Normal"/>
              <w:rPr>
                <w:rFonts w:ascii="Times New Roman" w:hAnsi="Times New Roman" w:cs="Times New Roman"/>
              </w:rPr>
            </w:pPr>
            <w:r>
              <w:rPr>
                <w:rFonts w:cs="Times New Roman" w:ascii="Times New Roman" w:hAnsi="Times New Roman"/>
              </w:rPr>
              <w:t>Nancy A. Cousins, Esq.</w:t>
            </w:r>
          </w:p>
          <w:p>
            <w:pPr>
              <w:pStyle w:val="Normal"/>
              <w:rPr>
                <w:rFonts w:ascii="Times New Roman" w:hAnsi="Times New Roman" w:cs="Times New Roman"/>
              </w:rPr>
            </w:pPr>
            <w:r>
              <w:rPr>
                <w:rFonts w:cs="Times New Roman" w:ascii="Times New Roman" w:hAnsi="Times New Roman"/>
              </w:rPr>
              <w:t>City of Coconut Creek</w:t>
            </w:r>
          </w:p>
          <w:p>
            <w:pPr>
              <w:pStyle w:val="Normal"/>
              <w:rPr>
                <w:rFonts w:ascii="Times New Roman" w:hAnsi="Times New Roman" w:cs="Times New Roman"/>
              </w:rPr>
            </w:pPr>
            <w:r>
              <w:rPr>
                <w:rFonts w:cs="Times New Roman" w:ascii="Times New Roman" w:hAnsi="Times New Roman"/>
              </w:rPr>
              <w:t>4800 West Copans Road</w:t>
            </w:r>
          </w:p>
          <w:p>
            <w:pPr>
              <w:pStyle w:val="Normal"/>
              <w:rPr>
                <w:rFonts w:ascii="Times New Roman" w:hAnsi="Times New Roman" w:cs="Times New Roman"/>
              </w:rPr>
            </w:pPr>
            <w:r>
              <w:rPr>
                <w:rFonts w:cs="Times New Roman" w:ascii="Times New Roman" w:hAnsi="Times New Roman"/>
              </w:rPr>
              <w:t>Coconut Creek, Florida  33063</w:t>
            </w:r>
          </w:p>
          <w:p>
            <w:pPr>
              <w:pStyle w:val="Normal"/>
              <w:rPr>
                <w:rFonts w:ascii="Times New Roman" w:hAnsi="Times New Roman" w:cs="Times New Roman"/>
              </w:rPr>
            </w:pPr>
            <w:r>
              <w:rPr>
                <w:rFonts w:cs="Times New Roman" w:ascii="Times New Roman" w:hAnsi="Times New Roman"/>
              </w:rPr>
            </w:r>
          </w:p>
        </w:tc>
        <w:tc>
          <w:tcPr>
            <w:tcW w:w="4788" w:type="dxa"/>
            <w:tcBorders/>
          </w:tcPr>
          <w:p>
            <w:pPr>
              <w:pStyle w:val="Normal"/>
              <w:rPr>
                <w:rFonts w:ascii="Times New Roman" w:hAnsi="Times New Roman" w:cs="Times New Roman"/>
              </w:rPr>
            </w:pPr>
            <w:r>
              <w:rPr>
                <w:rFonts w:cs="Times New Roman" w:ascii="Times New Roman" w:hAnsi="Times New Roman"/>
              </w:rPr>
              <w:t>Maite Azcoitia, Esq.</w:t>
            </w:r>
          </w:p>
          <w:p>
            <w:pPr>
              <w:pStyle w:val="Normal"/>
              <w:rPr>
                <w:rFonts w:ascii="Times New Roman" w:hAnsi="Times New Roman" w:cs="Times New Roman"/>
              </w:rPr>
            </w:pPr>
            <w:r>
              <w:rPr>
                <w:rFonts w:cs="Times New Roman" w:ascii="Times New Roman" w:hAnsi="Times New Roman"/>
              </w:rPr>
              <w:t>Jose Raul Gonzalez, Esq.</w:t>
            </w:r>
          </w:p>
          <w:p>
            <w:pPr>
              <w:pStyle w:val="Normal"/>
              <w:rPr>
                <w:rFonts w:ascii="Times New Roman" w:hAnsi="Times New Roman" w:cs="Times New Roman"/>
              </w:rPr>
            </w:pPr>
            <w:r>
              <w:rPr>
                <w:rFonts w:cs="Times New Roman" w:ascii="Times New Roman" w:hAnsi="Times New Roman"/>
              </w:rPr>
              <w:t>Broward County Attorney’s Office</w:t>
            </w:r>
          </w:p>
          <w:p>
            <w:pPr>
              <w:pStyle w:val="Normal"/>
              <w:rPr>
                <w:rFonts w:ascii="Times New Roman" w:hAnsi="Times New Roman" w:cs="Times New Roman"/>
              </w:rPr>
            </w:pPr>
            <w:r>
              <w:rPr>
                <w:rFonts w:cs="Times New Roman" w:ascii="Times New Roman" w:hAnsi="Times New Roman"/>
              </w:rPr>
              <w:t>Governmental Center, Suite 423</w:t>
            </w:r>
          </w:p>
          <w:p>
            <w:pPr>
              <w:pStyle w:val="Normal"/>
              <w:rPr>
                <w:rFonts w:ascii="Times New Roman" w:hAnsi="Times New Roman" w:cs="Times New Roman"/>
              </w:rPr>
            </w:pPr>
            <w:r>
              <w:rPr>
                <w:rFonts w:cs="Times New Roman" w:ascii="Times New Roman" w:hAnsi="Times New Roman"/>
              </w:rPr>
              <w:t>115 S. Andrews Avenue</w:t>
            </w:r>
          </w:p>
          <w:p>
            <w:pPr>
              <w:pStyle w:val="Normal"/>
              <w:rPr>
                <w:rFonts w:ascii="Times New Roman" w:hAnsi="Times New Roman" w:cs="Times New Roman"/>
              </w:rPr>
            </w:pPr>
            <w:r>
              <w:rPr>
                <w:rFonts w:cs="Times New Roman" w:ascii="Times New Roman" w:hAnsi="Times New Roman"/>
              </w:rPr>
              <w:t>Fort Lauderdale, Florida  33301</w:t>
            </w:r>
          </w:p>
          <w:p>
            <w:pPr>
              <w:pStyle w:val="Normal"/>
              <w:rPr>
                <w:rFonts w:ascii="Times New Roman" w:hAnsi="Times New Roman" w:cs="Times New Roman"/>
              </w:rPr>
            </w:pPr>
            <w:r>
              <w:rPr>
                <w:rFonts w:cs="Times New Roman" w:ascii="Times New Roman" w:hAnsi="Times New Roman"/>
              </w:rPr>
            </w:r>
          </w:p>
        </w:tc>
      </w:tr>
      <w:tr>
        <w:trPr/>
        <w:tc>
          <w:tcPr>
            <w:tcW w:w="4788" w:type="dxa"/>
            <w:tcBorders/>
          </w:tcPr>
          <w:p>
            <w:pPr>
              <w:pStyle w:val="Normal"/>
              <w:rPr>
                <w:rFonts w:ascii="Times New Roman" w:hAnsi="Times New Roman" w:cs="Times New Roman"/>
              </w:rPr>
            </w:pPr>
            <w:r>
              <w:rPr>
                <w:rFonts w:cs="Times New Roman" w:ascii="Times New Roman" w:hAnsi="Times New Roman"/>
              </w:rPr>
              <w:t>Kerry L. Ezrol, Esq.</w:t>
            </w:r>
          </w:p>
          <w:p>
            <w:pPr>
              <w:pStyle w:val="Normal"/>
              <w:rPr>
                <w:rFonts w:ascii="Times New Roman" w:hAnsi="Times New Roman" w:cs="Times New Roman"/>
              </w:rPr>
            </w:pPr>
            <w:r>
              <w:rPr>
                <w:rFonts w:cs="Times New Roman" w:ascii="Times New Roman" w:hAnsi="Times New Roman"/>
              </w:rPr>
              <w:t>Goren, Cherof,  Doody &amp; Ezrol, P.A.</w:t>
            </w:r>
          </w:p>
          <w:p>
            <w:pPr>
              <w:pStyle w:val="Normal"/>
              <w:rPr>
                <w:rFonts w:ascii="Times New Roman" w:hAnsi="Times New Roman" w:cs="Times New Roman"/>
              </w:rPr>
            </w:pPr>
            <w:r>
              <w:rPr>
                <w:rFonts w:cs="Times New Roman" w:ascii="Times New Roman" w:hAnsi="Times New Roman"/>
              </w:rPr>
              <w:t>Suite 200</w:t>
            </w:r>
          </w:p>
          <w:p>
            <w:pPr>
              <w:pStyle w:val="Normal"/>
              <w:rPr>
                <w:rFonts w:ascii="Times New Roman" w:hAnsi="Times New Roman" w:cs="Times New Roman"/>
              </w:rPr>
            </w:pPr>
            <w:r>
              <w:rPr>
                <w:rFonts w:cs="Times New Roman" w:ascii="Times New Roman" w:hAnsi="Times New Roman"/>
              </w:rPr>
              <w:t>3099 E. Commercial Boulevard</w:t>
            </w:r>
          </w:p>
          <w:p>
            <w:pPr>
              <w:pStyle w:val="Normal"/>
              <w:rPr>
                <w:rFonts w:ascii="Times New Roman" w:hAnsi="Times New Roman" w:cs="Times New Roman"/>
              </w:rPr>
            </w:pPr>
            <w:r>
              <w:rPr>
                <w:rFonts w:cs="Times New Roman" w:ascii="Times New Roman" w:hAnsi="Times New Roman"/>
              </w:rPr>
              <w:t>Ft. Lauderdale, FL 33308</w:t>
            </w:r>
          </w:p>
        </w:tc>
        <w:tc>
          <w:tcPr>
            <w:tcW w:w="4788" w:type="dxa"/>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p>
      <w:pPr>
        <w:pStyle w:val="SignBlock"/>
        <w:rPr/>
      </w:pPr>
      <w:r>
        <w:rPr>
          <w:rFonts w:cs="Times New Roman" w:ascii="Times New Roman" w:hAnsi="Times New Roman"/>
        </w:rPr>
        <w:tab/>
      </w:r>
      <w:r>
        <w:rPr>
          <w:rFonts w:cs="Times New Roman" w:ascii="Times New Roman" w:hAnsi="Times New Roman"/>
          <w:u w:val="single"/>
        </w:rPr>
        <w:tab/>
        <w:tab/>
      </w:r>
    </w:p>
    <w:p>
      <w:pPr>
        <w:pStyle w:val="SignBlock"/>
        <w:rPr>
          <w:rFonts w:ascii="Times New Roman" w:hAnsi="Times New Roman" w:cs="Times New Roman"/>
        </w:rPr>
      </w:pPr>
      <w:r>
        <w:rPr>
          <w:rFonts w:cs="Times New Roman" w:ascii="Times New Roman" w:hAnsi="Times New Roman"/>
        </w:rPr>
        <w:tab/>
        <w:tab/>
        <w:t>C. Ryan Reetz</w:t>
      </w:r>
    </w:p>
    <w:p>
      <w:pPr>
        <w:pStyle w:val="SignBlock"/>
        <w:rPr>
          <w:rFonts w:ascii="Times New Roman" w:hAnsi="Times New Roman" w:cs="Times New Roman"/>
        </w:rPr>
      </w:pPr>
      <w:r>
        <w:rPr>
          <w:rFonts w:cs="Times New Roman" w:ascii="Times New Roman" w:hAnsi="Times New Roman"/>
        </w:rPr>
      </w:r>
    </w:p>
    <w:p>
      <w:pPr>
        <w:pStyle w:val="Double"/>
        <w:spacing w:before="720" w:after="0"/>
        <w:rPr>
          <w:rFonts w:ascii="Times New Roman" w:hAnsi="Times New Roman" w:cs="Times New Roman"/>
          <w:sz w:val="16"/>
        </w:rPr>
      </w:pPr>
      <w:r>
        <w:rPr>
          <w:rFonts w:cs="Times New Roman" w:ascii="Times New Roman" w:hAnsi="Times New Roman"/>
          <w:sz w:val="16"/>
        </w:rPr>
      </w:r>
    </w:p>
    <w:sectPr>
      <w:headerReference w:type="default" r:id="rId2"/>
      <w:headerReference w:type="first" r:id="rId3"/>
      <w:footerReference w:type="default" r:id="rId4"/>
      <w:footerReference w:type="first" r:id="rId5"/>
      <w:type w:val="nextPage"/>
      <w:pgSz w:w="12240" w:h="15840"/>
      <w:pgMar w:left="1440" w:right="1440" w:gutter="0" w:header="720" w:top="1440" w:footer="93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Bold">
    <w:altName w:val="Times New Roman"/>
    <w:charset w:val="00" w:characterSet="windows-1252"/>
    <w:family w:val="roman"/>
    <w:pitch w:val="default"/>
  </w:font>
  <w:font w:name="Liberation Sans">
    <w:altName w:val="Arial"/>
    <w:charset w:val="01" w:characterSet="utf-8"/>
    <w:family w:val="swiss"/>
    <w:pitch w:val="variable"/>
  </w:font>
  <w:font w:name="Calisto MT">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Normal"/>
                            <w:rPr/>
                          </w:pP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Normal"/>
                      <w:rPr/>
                    </w:pPr>
                    <w:r>
                      <w:rPr/>
                      <w:fldChar w:fldCharType="begin"/>
                    </w:r>
                    <w:r>
                      <w:rPr/>
                      <w:instrText xml:space="preserve"> PAGE </w:instrText>
                    </w:r>
                    <w:r>
                      <w:rPr/>
                      <w:fldChar w:fldCharType="separate"/>
                    </w:r>
                    <w:r>
                      <w:rPr/>
                      <w:t>3</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CASE NOS. 01-2682, 01-2683, 01-2684</w:t>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lvl>
    <w:lvl w:ilvl="4">
      <w:start w:val="1"/>
      <w:pStyle w:val="Heading5"/>
      <w:numFmt w:val="lowerRoman"/>
      <w:lvlText w:val="(%5)"/>
      <w:lvlJc w:val="start"/>
      <w:pPr>
        <w:tabs>
          <w:tab w:val="num" w:pos="3600"/>
        </w:tabs>
        <w:ind w:start="3600" w:hanging="720"/>
      </w:pPr>
      <w:rPr/>
    </w:lvl>
    <w:lvl w:ilvl="5">
      <w:start w:val="1"/>
      <w:pStyle w:val="Heading6"/>
      <w:numFmt w:val="decimal"/>
      <w:lvlText w:val="%6."/>
      <w:lvlJc w:val="start"/>
      <w:pPr>
        <w:tabs>
          <w:tab w:val="num" w:pos="4320"/>
        </w:tabs>
        <w:ind w:start="4320" w:hanging="720"/>
      </w:pPr>
      <w:rPr/>
    </w:lvl>
    <w:lvl w:ilvl="6">
      <w:start w:val="1"/>
      <w:pStyle w:val="Heading7"/>
      <w:numFmt w:val="lowerLetter"/>
      <w:lvlText w:val="%7."/>
      <w:lvlJc w:val="start"/>
      <w:pPr>
        <w:tabs>
          <w:tab w:val="num" w:pos="5040"/>
        </w:tabs>
        <w:ind w:start="5040" w:hanging="720"/>
      </w:pPr>
      <w:rPr/>
    </w:lvl>
    <w:lvl w:ilvl="7">
      <w:start w:val="1"/>
      <w:pStyle w:val="Heading8"/>
      <w:numFmt w:val="lowerRoman"/>
      <w:lvlText w:val="%8."/>
      <w:lvlJc w:val="start"/>
      <w:pPr>
        <w:tabs>
          <w:tab w:val="num" w:pos="5760"/>
        </w:tabs>
        <w:ind w:start="5760" w:hanging="720"/>
      </w:pPr>
      <w:rPr/>
    </w:lvl>
    <w:lvl w:ilvl="8">
      <w:start w:val="1"/>
      <w:pStyle w:val="Heading9"/>
      <w:numFmt w:val="decimal"/>
      <w:lvlText w:val="%9)"/>
      <w:lvlJc w:val="start"/>
      <w:pPr>
        <w:tabs>
          <w:tab w:val="num" w:pos="6480"/>
        </w:tabs>
        <w:ind w:start="6480" w:hanging="720"/>
      </w:pPr>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gtTLAUPref" w:val="0"/>
    <w:docVar w:name="gtTLDlgPref" w:val="Last page;36 points;Left;6;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5040" w:leader="none"/>
      </w:tabs>
      <w:suppressAutoHyphens w:val="true"/>
      <w:bidi w:val="0"/>
    </w:pPr>
    <w:rPr>
      <w:rFonts w:ascii="CG Times" w:hAnsi="CG Times" w:eastAsia="Times New Roman" w:cs="CG Times"/>
      <w:color w:val="auto"/>
      <w:sz w:val="24"/>
      <w:szCs w:val="24"/>
      <w:lang w:val="en-US" w:bidi="ar-SA" w:eastAsia="zh-CN"/>
    </w:rPr>
  </w:style>
  <w:style w:type="paragraph" w:styleId="Heading1">
    <w:name w:val="heading 1"/>
    <w:basedOn w:val="Normal"/>
    <w:next w:val="Double"/>
    <w:qFormat/>
    <w:pPr>
      <w:keepNext w:val="true"/>
      <w:numPr>
        <w:ilvl w:val="0"/>
        <w:numId w:val="1"/>
      </w:numPr>
      <w:spacing w:before="0" w:after="120"/>
      <w:ind w:hanging="0" w:start="0" w:end="720"/>
      <w:outlineLvl w:val="0"/>
    </w:pPr>
    <w:rPr>
      <w:rFonts w:ascii="CG Times Bold;Times New Roman" w:hAnsi="CG Times Bold;Times New Roman" w:cs="CG Times Bold;Times New Roman"/>
      <w:b/>
    </w:rPr>
  </w:style>
  <w:style w:type="paragraph" w:styleId="Heading2">
    <w:name w:val="heading 2"/>
    <w:basedOn w:val="Heading1"/>
    <w:next w:val="Double"/>
    <w:qFormat/>
    <w:pPr>
      <w:numPr>
        <w:ilvl w:val="1"/>
        <w:numId w:val="1"/>
      </w:numPr>
      <w:tabs>
        <w:tab w:val="left" w:pos="360" w:leader="none"/>
        <w:tab w:val="left" w:pos="720" w:leader="none"/>
        <w:tab w:val="left" w:pos="1440" w:leader="none"/>
        <w:tab w:val="left" w:pos="2160" w:leader="none"/>
        <w:tab w:val="left" w:pos="5040" w:leader="none"/>
      </w:tabs>
      <w:ind w:hanging="0" w:start="720" w:end="720"/>
      <w:outlineLvl w:val="1"/>
    </w:pPr>
    <w:rPr/>
  </w:style>
  <w:style w:type="paragraph" w:styleId="Heading3">
    <w:name w:val="heading 3"/>
    <w:basedOn w:val="Heading2"/>
    <w:next w:val="Double"/>
    <w:qFormat/>
    <w:pPr>
      <w:numPr>
        <w:ilvl w:val="2"/>
        <w:numId w:val="1"/>
      </w:numPr>
      <w:outlineLvl w:val="2"/>
    </w:pPr>
    <w:rPr/>
  </w:style>
  <w:style w:type="paragraph" w:styleId="Heading4">
    <w:name w:val="heading 4"/>
    <w:basedOn w:val="Heading3"/>
    <w:next w:val="Double"/>
    <w:qFormat/>
    <w:pPr>
      <w:numPr>
        <w:ilvl w:val="3"/>
        <w:numId w:val="1"/>
      </w:numPr>
      <w:outlineLvl w:val="3"/>
    </w:pPr>
    <w:rPr/>
  </w:style>
  <w:style w:type="paragraph" w:styleId="Heading5">
    <w:name w:val="heading 5"/>
    <w:basedOn w:val="Heading1"/>
    <w:next w:val="Double"/>
    <w:qFormat/>
    <w:pPr>
      <w:numPr>
        <w:ilvl w:val="4"/>
        <w:numId w:val="1"/>
      </w:numPr>
      <w:outlineLvl w:val="4"/>
    </w:pPr>
    <w:rPr/>
  </w:style>
  <w:style w:type="paragraph" w:styleId="Heading6">
    <w:name w:val="heading 6"/>
    <w:basedOn w:val="Heading1"/>
    <w:next w:val="Double"/>
    <w:qFormat/>
    <w:pPr>
      <w:numPr>
        <w:ilvl w:val="5"/>
        <w:numId w:val="1"/>
      </w:numPr>
      <w:outlineLvl w:val="5"/>
    </w:pPr>
    <w:rPr/>
  </w:style>
  <w:style w:type="paragraph" w:styleId="Heading7">
    <w:name w:val="heading 7"/>
    <w:basedOn w:val="Heading6"/>
    <w:next w:val="Double"/>
    <w:qFormat/>
    <w:pPr>
      <w:numPr>
        <w:ilvl w:val="6"/>
        <w:numId w:val="1"/>
      </w:numPr>
      <w:outlineLvl w:val="6"/>
    </w:pPr>
    <w:rPr/>
  </w:style>
  <w:style w:type="paragraph" w:styleId="Heading8">
    <w:name w:val="heading 8"/>
    <w:basedOn w:val="Heading7"/>
    <w:next w:val="Double"/>
    <w:qFormat/>
    <w:pPr>
      <w:numPr>
        <w:ilvl w:val="7"/>
        <w:numId w:val="1"/>
      </w:numPr>
      <w:outlineLvl w:val="7"/>
    </w:pPr>
    <w:rPr/>
  </w:style>
  <w:style w:type="paragraph" w:styleId="Heading9">
    <w:name w:val="heading 9"/>
    <w:basedOn w:val="Heading8"/>
    <w:next w:val="Double"/>
    <w:qFormat/>
    <w:pPr>
      <w:numPr>
        <w:ilvl w:val="8"/>
        <w:numId w:val="1"/>
      </w:numPr>
      <w:outlineLvl w:val="8"/>
    </w:pPr>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CG Times" w:hAnsi="CG Times" w:cs="CG Times"/>
      <w:sz w:val="24"/>
      <w:u w:val="none"/>
      <w:vertAlign w:val="superscript"/>
    </w:rPr>
  </w:style>
  <w:style w:type="character" w:styleId="PageNumber">
    <w:name w:val="page number"/>
    <w:basedOn w:val="DefaultParagraphFont"/>
    <w:rPr>
      <w:rFonts w:ascii="CG Times" w:hAnsi="CG Times" w:cs="CG Times"/>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uble">
    <w:name w:val="Double"/>
    <w:basedOn w:val="Normal"/>
    <w:qFormat/>
    <w:pPr>
      <w:spacing w:lineRule="exact" w:line="480"/>
      <w:jc w:val="both"/>
    </w:pPr>
    <w:rPr/>
  </w:style>
  <w:style w:type="paragraph" w:styleId="QuoteIndent">
    <w:name w:val="QuoteIndent"/>
    <w:basedOn w:val="Normal"/>
    <w:next w:val="Double"/>
    <w:qFormat/>
    <w:pPr>
      <w:spacing w:before="200" w:after="160"/>
      <w:ind w:hanging="0" w:start="720" w:end="720"/>
      <w:jc w:val="both"/>
    </w:pPr>
    <w:rPr/>
  </w:style>
  <w:style w:type="paragraph" w:styleId="SignBlock">
    <w:name w:val="SignBlock"/>
    <w:basedOn w:val="Normal"/>
    <w:qFormat/>
    <w:pPr>
      <w:tabs>
        <w:tab w:val="clear" w:pos="720"/>
        <w:tab w:val="clear" w:pos="1440"/>
        <w:tab w:val="clear" w:pos="2160"/>
        <w:tab w:val="left" w:pos="5040" w:leader="none"/>
        <w:tab w:val="center" w:pos="7200" w:leader="none"/>
        <w:tab w:val="left" w:pos="9360" w:leader="none"/>
      </w:tabs>
    </w:pPr>
    <w:rPr/>
  </w:style>
  <w:style w:type="paragraph" w:styleId="TOC1">
    <w:name w:val="toc 1"/>
    <w:basedOn w:val="Normal"/>
    <w:pPr>
      <w:tabs>
        <w:tab w:val="clear" w:pos="720"/>
        <w:tab w:val="clear" w:pos="1440"/>
        <w:tab w:val="clear" w:pos="2160"/>
        <w:tab w:val="clear" w:pos="5040"/>
        <w:tab w:val="right" w:pos="9360" w:leader="dot"/>
      </w:tabs>
      <w:spacing w:before="0" w:after="240"/>
      <w:ind w:hanging="720" w:start="720" w:end="1440"/>
    </w:pPr>
    <w:rPr/>
  </w:style>
  <w:style w:type="paragraph" w:styleId="TOC2">
    <w:name w:val="toc 2"/>
    <w:basedOn w:val="TOC1"/>
    <w:pPr>
      <w:tabs>
        <w:tab w:val="left" w:pos="1440" w:leader="none"/>
        <w:tab w:val="right" w:pos="9360" w:leader="dot"/>
      </w:tabs>
      <w:ind w:hanging="720" w:start="1440" w:end="1440"/>
    </w:pPr>
    <w:rPr/>
  </w:style>
  <w:style w:type="paragraph" w:styleId="TOC3">
    <w:name w:val="toc 3"/>
    <w:basedOn w:val="TOC2"/>
    <w:pPr>
      <w:tabs>
        <w:tab w:val="left" w:pos="1440" w:leader="none"/>
        <w:tab w:val="left" w:pos="2160" w:leader="none"/>
        <w:tab w:val="right" w:pos="9360" w:leader="dot"/>
      </w:tabs>
      <w:ind w:hanging="720" w:start="2160" w:end="1440"/>
    </w:pPr>
    <w:rPr/>
  </w:style>
  <w:style w:type="paragraph" w:styleId="TOC4">
    <w:name w:val="toc 4"/>
    <w:basedOn w:val="TOC3"/>
    <w:pPr>
      <w:tabs>
        <w:tab w:val="left" w:pos="1440" w:leader="none"/>
        <w:tab w:val="left" w:pos="2160" w:leader="none"/>
        <w:tab w:val="left" w:pos="2880" w:leader="none"/>
        <w:tab w:val="right" w:pos="9360" w:leader="dot"/>
      </w:tabs>
      <w:ind w:hanging="720" w:start="2880" w:end="1440"/>
    </w:pPr>
    <w:rPr/>
  </w:style>
  <w:style w:type="paragraph" w:styleId="TOC5">
    <w:name w:val="toc 5"/>
    <w:basedOn w:val="TOC4"/>
    <w:pPr>
      <w:tabs>
        <w:tab w:val="left" w:pos="1440" w:leader="none"/>
        <w:tab w:val="left" w:pos="2160" w:leader="none"/>
        <w:tab w:val="left" w:pos="2880" w:leader="none"/>
        <w:tab w:val="left" w:pos="3600" w:leader="none"/>
        <w:tab w:val="right" w:pos="9360" w:leader="dot"/>
      </w:tabs>
      <w:ind w:hanging="720" w:start="3600" w:end="1440"/>
    </w:pPr>
    <w:rPr/>
  </w:style>
  <w:style w:type="paragraph" w:styleId="TOC6">
    <w:name w:val="toc 6"/>
    <w:basedOn w:val="TOC5"/>
    <w:next w:val="Normal"/>
    <w:pPr>
      <w:tabs>
        <w:tab w:val="left" w:pos="1440" w:leader="none"/>
        <w:tab w:val="left" w:pos="2160" w:leader="none"/>
        <w:tab w:val="left" w:pos="2880" w:leader="none"/>
        <w:tab w:val="left" w:pos="3600" w:leader="none"/>
        <w:tab w:val="left" w:pos="4320" w:leader="none"/>
        <w:tab w:val="right" w:pos="9360" w:leader="dot"/>
      </w:tabs>
      <w:ind w:hanging="720" w:start="4320" w:end="1440"/>
    </w:pPr>
    <w:rPr/>
  </w:style>
  <w:style w:type="paragraph" w:styleId="HeaderandFooter">
    <w:name w:val="Header and Footer"/>
    <w:basedOn w:val="Normal"/>
    <w:qFormat/>
    <w:pPr>
      <w:suppressLineNumbers/>
      <w:tabs>
        <w:tab w:val="clear" w:pos="720"/>
        <w:tab w:val="clear" w:pos="1440"/>
        <w:tab w:val="clear" w:pos="2160"/>
        <w:tab w:val="clear" w:pos="5040"/>
        <w:tab w:val="center" w:pos="4986" w:leader="none"/>
        <w:tab w:val="right" w:pos="9972" w:leader="none"/>
      </w:tabs>
    </w:pPr>
    <w:rPr/>
  </w:style>
  <w:style w:type="paragraph" w:styleId="Footer">
    <w:name w:val="footer"/>
    <w:basedOn w:val="Normal"/>
    <w:pPr/>
    <w:rPr/>
  </w:style>
  <w:style w:type="paragraph" w:styleId="FootnoteText">
    <w:name w:val="footnote text"/>
    <w:basedOn w:val="Normal"/>
    <w:pPr>
      <w:spacing w:before="0" w:after="120"/>
      <w:ind w:hanging="720" w:start="720" w:end="0"/>
      <w:jc w:val="both"/>
    </w:pPr>
    <w:rPr/>
  </w:style>
  <w:style w:type="paragraph" w:styleId="CenteredSM">
    <w:name w:val="Centered/SM"/>
    <w:basedOn w:val="Normal"/>
    <w:next w:val="Double"/>
    <w:qFormat/>
    <w:pPr>
      <w:keepNext w:val="true"/>
      <w:spacing w:before="0" w:after="120"/>
      <w:ind w:hanging="0" w:start="1440" w:end="1440"/>
      <w:jc w:val="center"/>
    </w:pPr>
    <w:rPr>
      <w:rFonts w:ascii="CG Times Bold;Times New Roman" w:hAnsi="CG Times Bold;Times New Roman" w:cs="CG Times Bold;Times New Roman"/>
      <w:b/>
      <w:smallCaps/>
    </w:rPr>
  </w:style>
  <w:style w:type="paragraph" w:styleId="CenteredHdg">
    <w:name w:val="CenteredHdg."/>
    <w:basedOn w:val="Normal"/>
    <w:next w:val="Double"/>
    <w:qFormat/>
    <w:pPr>
      <w:keepNext w:val="true"/>
      <w:spacing w:before="0" w:after="120"/>
      <w:ind w:hanging="0" w:start="1440" w:end="1440"/>
      <w:jc w:val="center"/>
    </w:pPr>
    <w:rPr>
      <w:rFonts w:ascii="CG Times Bold;Times New Roman" w:hAnsi="CG Times Bold;Times New Roman" w:cs="CG Times Bold;Times New Roman"/>
      <w:b/>
      <w:caps/>
    </w:rPr>
  </w:style>
  <w:style w:type="paragraph" w:styleId="Header">
    <w:name w:val="header"/>
    <w:basedOn w:val="Normal"/>
    <w:pPr/>
    <w:rPr/>
  </w:style>
  <w:style w:type="paragraph" w:styleId="DoubleLine">
    <w:name w:val="DoubleLine"/>
    <w:basedOn w:val="Normal"/>
    <w:next w:val="Normal"/>
    <w:qFormat/>
    <w:pPr>
      <w:tabs>
        <w:tab w:val="clear" w:pos="720"/>
        <w:tab w:val="clear" w:pos="1440"/>
        <w:tab w:val="clear" w:pos="2160"/>
        <w:tab w:val="clear" w:pos="5040"/>
        <w:tab w:val="right" w:pos="9360" w:leader="none"/>
      </w:tabs>
    </w:pPr>
    <w:rPr>
      <w:rFonts w:ascii="Calisto MT;Book Antiqua" w:hAnsi="Calisto MT;Book Antiqua" w:cs="Calisto MT;Book Antiqua"/>
      <w:u w:val="double"/>
    </w:rPr>
  </w:style>
  <w:style w:type="paragraph" w:styleId="QuoteFootnote">
    <w:name w:val="QuoteFootnote"/>
    <w:basedOn w:val="FootnoteText"/>
    <w:next w:val="FootnoteText"/>
    <w:qFormat/>
    <w:pPr>
      <w:ind w:hanging="0" w:start="1440" w:end="720"/>
    </w:pPr>
    <w:rPr/>
  </w:style>
  <w:style w:type="paragraph" w:styleId="Separator">
    <w:name w:val="Separator"/>
    <w:basedOn w:val="Normal"/>
    <w:qFormat/>
    <w:pPr/>
    <w:rPr/>
  </w:style>
  <w:style w:type="paragraph" w:styleId="Subsection">
    <w:name w:val="Subsection"/>
    <w:basedOn w:val="QuoteIndent"/>
    <w:next w:val="Double"/>
    <w:qFormat/>
    <w:pPr>
      <w:keepNext w:val="true"/>
      <w:spacing w:before="120" w:after="120"/>
    </w:pPr>
    <w:rPr>
      <w:b/>
    </w:rPr>
  </w:style>
  <w:style w:type="paragraph" w:styleId="TableofAuthorities">
    <w:name w:val="Table of Authorities"/>
    <w:basedOn w:val="Normal"/>
    <w:next w:val="Normal"/>
    <w:qFormat/>
    <w:pPr>
      <w:keepLines/>
      <w:tabs>
        <w:tab w:val="left" w:pos="720" w:leader="none"/>
        <w:tab w:val="left" w:pos="1440" w:leader="none"/>
        <w:tab w:val="left" w:pos="2160" w:leader="none"/>
        <w:tab w:val="left" w:pos="5040" w:leader="none"/>
        <w:tab w:val="right" w:pos="9360" w:leader="dot"/>
      </w:tabs>
      <w:spacing w:before="0" w:after="240"/>
      <w:ind w:hanging="720" w:start="720" w:end="1440"/>
    </w:pPr>
    <w:rPr/>
  </w:style>
  <w:style w:type="paragraph" w:styleId="TOAHeading">
    <w:name w:val="TOA Heading"/>
    <w:basedOn w:val="Normal"/>
    <w:next w:val="TableofAuthorities"/>
    <w:qFormat/>
    <w:pPr>
      <w:keepNext w:val="true"/>
      <w:spacing w:before="0" w:after="240"/>
      <w:jc w:val="center"/>
    </w:pPr>
    <w:rPr>
      <w:rFonts w:ascii="CG Times Bold;Times New Roman" w:hAnsi="CG Times Bold;Times New Roman" w:cs="CG Times Bold;Times New Roman"/>
      <w:b/>
    </w:rPr>
  </w:style>
  <w:style w:type="paragraph" w:styleId="TOC7">
    <w:name w:val="toc 7"/>
    <w:basedOn w:val="TOC6"/>
    <w:pPr>
      <w:tabs>
        <w:tab w:val="left" w:pos="1440" w:leader="none"/>
        <w:tab w:val="left" w:pos="2160" w:leader="none"/>
        <w:tab w:val="left" w:pos="2880" w:leader="none"/>
        <w:tab w:val="left" w:pos="3600" w:leader="none"/>
        <w:tab w:val="left" w:pos="4320" w:leader="none"/>
        <w:tab w:val="left" w:pos="5040" w:leader="none"/>
        <w:tab w:val="right" w:pos="9360" w:leader="dot"/>
      </w:tabs>
      <w:ind w:hanging="720" w:start="5040" w:end="1440"/>
    </w:pPr>
    <w:rPr/>
  </w:style>
  <w:style w:type="paragraph" w:styleId="TOC8">
    <w:name w:val="toc 8"/>
    <w:basedOn w:val="TOC7"/>
    <w:next w:val="Normal"/>
    <w:pPr>
      <w:tabs>
        <w:tab w:val="left" w:pos="1440" w:leader="none"/>
        <w:tab w:val="left" w:pos="2160" w:leader="none"/>
        <w:tab w:val="left" w:pos="2880" w:leader="none"/>
        <w:tab w:val="left" w:pos="3600" w:leader="none"/>
        <w:tab w:val="left" w:pos="4320" w:leader="none"/>
        <w:tab w:val="left" w:pos="5040" w:leader="none"/>
        <w:tab w:val="left" w:pos="5760" w:leader="none"/>
        <w:tab w:val="right" w:pos="9360" w:leader="dot"/>
      </w:tabs>
      <w:ind w:hanging="720" w:start="5760" w:end="1440"/>
    </w:pPr>
    <w:rPr/>
  </w:style>
  <w:style w:type="paragraph" w:styleId="TOC9">
    <w:name w:val="toc 9"/>
    <w:basedOn w:val="TOC8"/>
    <w:p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dot"/>
      </w:tabs>
      <w:ind w:hanging="720" w:start="648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Pleading--DCA.dot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2001-10-29T19:08:00Z</dcterms:created>
  <dc:creator>Barbara Augenblick</dc:creator>
  <dc:description/>
  <dc:language>en-CA</dc:language>
  <cp:lastModifiedBy>Ryan Reetz</cp:lastModifiedBy>
  <cp:lastPrinted>2001-10-22T15:59:00Z</cp:lastPrinted>
  <dcterms:modified xsi:type="dcterms:W3CDTF">2001-10-29T19:08:00Z</dcterms:modified>
  <cp:revision>2</cp:revision>
  <dc:subject/>
  <dc:title>WINSTON/MOTION TO EXPEDITE APPEAL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\\MIA-SRV01\REETZR\616669v01\D7TP01!.DOC\9/26/01\42292.011300</vt:lpwstr>
  </property>
</Properties>
</file>