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O:\LEGAL\MCOOK\WORK-GENERAL\DYN ENRON MSTR NET 11-8 FINAL.DOC</w:t>
      </w:r>
    </w:p>
    <w:p>
      <w:pPr>
        <w:pStyle w:val="Normal"/>
        <w:bidi w:val="0"/>
        <w:jc w:val="start"/>
        <w:rPr/>
      </w:pPr>
      <w:r>
        <w:rPr/>
        <w:t>and revised document: O:\LEGAL\MCOOK\WORK-GENERAL\DYN ENRON MSTR NET 11-8 FINAL A.DOC</w:t>
      </w:r>
    </w:p>
    <w:p>
      <w:pPr>
        <w:pStyle w:val="Normal"/>
        <w:bidi w:val="0"/>
        <w:jc w:val="start"/>
        <w:rPr/>
      </w:pPr>
      <w:r>
        <w:rPr/>
      </w:r>
    </w:p>
    <w:p>
      <w:pPr>
        <w:pStyle w:val="Normal"/>
        <w:bidi w:val="0"/>
        <w:jc w:val="start"/>
        <w:rPr/>
      </w:pPr>
      <w:r>
        <w:rPr/>
        <w:t>CompareRite found      23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center"/>
        <w:rPr>
          <w:rFonts w:ascii="Times New Roman" w:hAnsi="Times New Roman"/>
          <w:b/>
        </w:rPr>
      </w:pPr>
      <w:r>
        <w:rPr>
          <w:rFonts w:ascii="Times New Roman" w:hAnsi="Times New Roman"/>
          <w:b/>
        </w:rPr>
        <w:t>MASTER NETTING, SETOFF,</w:t>
      </w:r>
    </w:p>
    <w:p>
      <w:pPr>
        <w:pStyle w:val="Normal"/>
        <w:bidi w:val="0"/>
        <w:jc w:val="center"/>
        <w:rPr>
          <w:rFonts w:ascii="Times New Roman" w:hAnsi="Times New Roman"/>
          <w:b/>
        </w:rPr>
      </w:pPr>
      <w:r>
        <w:rPr>
          <w:rFonts w:ascii="Times New Roman" w:hAnsi="Times New Roman"/>
          <w:b/>
        </w:rPr>
        <w:t>AND SECURITY AGREEMENT</w:t>
      </w:r>
    </w:p>
    <w:p>
      <w:pPr>
        <w:pStyle w:val="Normal"/>
        <w:bidi w:val="0"/>
        <w:jc w:val="center"/>
        <w:rPr>
          <w:rFonts w:ascii="Times New Roman" w:hAnsi="Times New Roman"/>
          <w:b/>
          <w:u w:val="single"/>
        </w:rPr>
      </w:pPr>
      <w:r>
        <w:rPr>
          <w:rFonts w:ascii="Times New Roman" w:hAnsi="Times New Roman"/>
          <w:b/>
          <w:u w:val="single"/>
        </w:rPr>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right" w:pos="9390" w:leader="none"/>
          <w:tab w:val="right" w:pos="9440" w:leader="none"/>
        </w:tabs>
        <w:bidi w:val="0"/>
        <w:jc w:val="both"/>
        <w:rPr>
          <w:rFonts w:ascii="Times New Roman" w:hAnsi="Times New Roman"/>
          <w:sz w:val="22"/>
        </w:rPr>
      </w:pPr>
      <w:r>
        <w:rPr>
          <w:rFonts w:ascii="Times New Roman" w:hAnsi="Times New Roman"/>
          <w:sz w:val="22"/>
        </w:rPr>
        <w:t>This Master Netting, Setoff, and Security Agreement (this "</w:t>
      </w:r>
      <w:r>
        <w:rPr>
          <w:rFonts w:ascii="Times New Roman" w:hAnsi="Times New Roman"/>
          <w:sz w:val="22"/>
          <w:u w:val="single"/>
        </w:rPr>
        <w:t>Agreement</w:t>
      </w:r>
      <w:r>
        <w:rPr>
          <w:rFonts w:ascii="Times New Roman" w:hAnsi="Times New Roman"/>
          <w:sz w:val="22"/>
        </w:rPr>
        <w:t xml:space="preserve">") is made and entered into effective as of November 8, 2001 by and among Dynegy Marketing and Trade </w:t>
      </w:r>
      <w:r>
        <w:rPr>
          <w:rFonts w:ascii="Times New Roman" w:hAnsi="Times New Roman"/>
          <w:strike/>
          <w:sz w:val="22"/>
        </w:rPr>
        <w:t>{(“DMT”)}</w:t>
      </w:r>
      <w:r>
        <w:rPr>
          <w:rFonts w:ascii="Times New Roman" w:hAnsi="Times New Roman"/>
          <w:b/>
          <w:sz w:val="22"/>
        </w:rPr>
        <w:t>[("</w:t>
      </w:r>
      <w:r>
        <w:rPr>
          <w:rFonts w:ascii="Times New Roman" w:hAnsi="Times New Roman"/>
          <w:b/>
          <w:sz w:val="22"/>
          <w:u w:val="single"/>
        </w:rPr>
        <w:t>DMT</w:t>
      </w:r>
      <w:r>
        <w:rPr>
          <w:rFonts w:ascii="Times New Roman" w:hAnsi="Times New Roman"/>
          <w:b/>
          <w:sz w:val="22"/>
        </w:rPr>
        <w:t>")]</w:t>
      </w:r>
      <w:r>
        <w:rPr>
          <w:rFonts w:ascii="Times New Roman" w:hAnsi="Times New Roman"/>
          <w:sz w:val="22"/>
        </w:rPr>
        <w:t xml:space="preserve">, Dynegy Power Marketing, Inc. </w:t>
      </w:r>
      <w:r>
        <w:rPr>
          <w:rFonts w:ascii="Times New Roman" w:hAnsi="Times New Roman"/>
          <w:strike/>
          <w:sz w:val="22"/>
        </w:rPr>
        <w:t>{(“DYPM”)}</w:t>
      </w:r>
      <w:r>
        <w:rPr>
          <w:rFonts w:ascii="Times New Roman" w:hAnsi="Times New Roman"/>
          <w:b/>
          <w:sz w:val="22"/>
        </w:rPr>
        <w:t>[("</w:t>
      </w:r>
      <w:r>
        <w:rPr>
          <w:rFonts w:ascii="Times New Roman" w:hAnsi="Times New Roman"/>
          <w:b/>
          <w:sz w:val="22"/>
          <w:u w:val="single"/>
        </w:rPr>
        <w:t>DYPM</w:t>
      </w:r>
      <w:r>
        <w:rPr>
          <w:rFonts w:ascii="Times New Roman" w:hAnsi="Times New Roman"/>
          <w:b/>
          <w:sz w:val="22"/>
        </w:rPr>
        <w:t>")]</w:t>
      </w:r>
      <w:r>
        <w:rPr>
          <w:rFonts w:ascii="Times New Roman" w:hAnsi="Times New Roman"/>
          <w:sz w:val="22"/>
        </w:rPr>
        <w:t xml:space="preserve">, Dynegy Broadband Marketing and Trade </w:t>
      </w:r>
      <w:r>
        <w:rPr>
          <w:rFonts w:ascii="Times New Roman" w:hAnsi="Times New Roman"/>
          <w:strike/>
          <w:sz w:val="22"/>
        </w:rPr>
        <w:t>{(“DBMT”)}</w:t>
      </w:r>
      <w:r>
        <w:rPr>
          <w:rFonts w:ascii="Times New Roman" w:hAnsi="Times New Roman"/>
          <w:b/>
          <w:sz w:val="22"/>
        </w:rPr>
        <w:t>[("</w:t>
      </w:r>
      <w:r>
        <w:rPr>
          <w:rFonts w:ascii="Times New Roman" w:hAnsi="Times New Roman"/>
          <w:b/>
          <w:sz w:val="22"/>
          <w:u w:val="single"/>
        </w:rPr>
        <w:t>DBMT</w:t>
      </w:r>
      <w:r>
        <w:rPr>
          <w:rFonts w:ascii="Times New Roman" w:hAnsi="Times New Roman"/>
          <w:b/>
          <w:sz w:val="22"/>
        </w:rPr>
        <w:t>")]</w:t>
      </w:r>
      <w:r>
        <w:rPr>
          <w:rFonts w:ascii="Times New Roman" w:hAnsi="Times New Roman"/>
          <w:sz w:val="22"/>
        </w:rPr>
        <w:t xml:space="preserve">, Dynegy Canada Inc. </w:t>
      </w:r>
      <w:r>
        <w:rPr>
          <w:rFonts w:ascii="Times New Roman" w:hAnsi="Times New Roman"/>
          <w:strike/>
          <w:sz w:val="22"/>
        </w:rPr>
        <w:t>{(“DCI”)}</w:t>
      </w:r>
      <w:r>
        <w:rPr>
          <w:rFonts w:ascii="Times New Roman" w:hAnsi="Times New Roman"/>
          <w:b/>
          <w:sz w:val="22"/>
        </w:rPr>
        <w:t>[("</w:t>
      </w:r>
      <w:r>
        <w:rPr>
          <w:rFonts w:ascii="Times New Roman" w:hAnsi="Times New Roman"/>
          <w:b/>
          <w:sz w:val="22"/>
          <w:u w:val="single"/>
        </w:rPr>
        <w:t>DCI</w:t>
      </w:r>
      <w:r>
        <w:rPr>
          <w:rFonts w:ascii="Times New Roman" w:hAnsi="Times New Roman"/>
          <w:b/>
          <w:sz w:val="22"/>
        </w:rPr>
        <w:t>")]</w:t>
      </w:r>
      <w:r>
        <w:rPr>
          <w:rFonts w:ascii="Times New Roman" w:hAnsi="Times New Roman"/>
          <w:sz w:val="22"/>
        </w:rPr>
        <w:t xml:space="preserve">, and Dynegy UK Limited </w:t>
      </w:r>
      <w:r>
        <w:rPr>
          <w:rFonts w:ascii="Times New Roman" w:hAnsi="Times New Roman"/>
          <w:strike/>
          <w:sz w:val="22"/>
        </w:rPr>
        <w:t>{(DUK)}</w:t>
      </w:r>
      <w:r>
        <w:rPr>
          <w:rFonts w:ascii="Times New Roman" w:hAnsi="Times New Roman"/>
          <w:b/>
          <w:sz w:val="22"/>
        </w:rPr>
        <w:t>[("</w:t>
      </w:r>
      <w:r>
        <w:rPr>
          <w:rFonts w:ascii="Times New Roman" w:hAnsi="Times New Roman"/>
          <w:b/>
          <w:sz w:val="22"/>
          <w:u w:val="single"/>
        </w:rPr>
        <w:t>DUK</w:t>
      </w:r>
      <w:r>
        <w:rPr>
          <w:rFonts w:ascii="Times New Roman" w:hAnsi="Times New Roman"/>
          <w:b/>
          <w:sz w:val="22"/>
        </w:rPr>
        <w:t>")]</w:t>
      </w:r>
      <w:r>
        <w:rPr>
          <w:rFonts w:ascii="Times New Roman" w:hAnsi="Times New Roman"/>
          <w:sz w:val="22"/>
        </w:rPr>
        <w:t>, and Enron North America Corp. ("</w:t>
      </w:r>
      <w:r>
        <w:rPr>
          <w:rFonts w:ascii="Times New Roman" w:hAnsi="Times New Roman"/>
          <w:sz w:val="22"/>
          <w:u w:val="single"/>
        </w:rPr>
        <w:t>ENA</w:t>
      </w:r>
      <w:r>
        <w:rPr>
          <w:rFonts w:ascii="Times New Roman" w:hAnsi="Times New Roman"/>
          <w:sz w:val="22"/>
        </w:rPr>
        <w:t>"), Enron Power Marketing, Inc. ("</w:t>
      </w:r>
      <w:r>
        <w:rPr>
          <w:rFonts w:ascii="Times New Roman" w:hAnsi="Times New Roman"/>
          <w:sz w:val="22"/>
          <w:u w:val="single"/>
        </w:rPr>
        <w:t>EPMI</w:t>
      </w:r>
      <w:r>
        <w:rPr>
          <w:rFonts w:ascii="Times New Roman" w:hAnsi="Times New Roman"/>
          <w:sz w:val="22"/>
        </w:rPr>
        <w:t xml:space="preserve">"), Enron Energy Services, Inc. </w:t>
      </w:r>
      <w:r>
        <w:rPr>
          <w:rFonts w:ascii="Times New Roman" w:hAnsi="Times New Roman"/>
          <w:strike/>
          <w:sz w:val="22"/>
        </w:rPr>
        <w:t>{(“EES”)}</w:t>
      </w:r>
      <w:r>
        <w:rPr>
          <w:rFonts w:ascii="Times New Roman" w:hAnsi="Times New Roman"/>
          <w:b/>
          <w:sz w:val="22"/>
        </w:rPr>
        <w:t>[("</w:t>
      </w:r>
      <w:r>
        <w:rPr>
          <w:rFonts w:ascii="Times New Roman" w:hAnsi="Times New Roman"/>
          <w:b/>
          <w:sz w:val="22"/>
          <w:u w:val="single"/>
        </w:rPr>
        <w:t>EES</w:t>
      </w:r>
      <w:r>
        <w:rPr>
          <w:rFonts w:ascii="Times New Roman" w:hAnsi="Times New Roman"/>
          <w:b/>
          <w:sz w:val="22"/>
        </w:rPr>
        <w:t>")]</w:t>
      </w:r>
      <w:r>
        <w:rPr>
          <w:rFonts w:ascii="Times New Roman" w:hAnsi="Times New Roman"/>
          <w:sz w:val="22"/>
        </w:rPr>
        <w:t xml:space="preserve">, Enron Capital &amp; Trade Resources International, Inc. </w:t>
      </w:r>
      <w:r>
        <w:rPr>
          <w:rFonts w:ascii="Times New Roman" w:hAnsi="Times New Roman"/>
          <w:strike/>
          <w:sz w:val="22"/>
        </w:rPr>
        <w:t>{(“ECTRIC”)}</w:t>
      </w:r>
      <w:r>
        <w:rPr>
          <w:rFonts w:ascii="Times New Roman" w:hAnsi="Times New Roman"/>
          <w:b/>
          <w:sz w:val="22"/>
        </w:rPr>
        <w:t>[("</w:t>
      </w:r>
      <w:r>
        <w:rPr>
          <w:rFonts w:ascii="Times New Roman" w:hAnsi="Times New Roman"/>
          <w:b/>
          <w:sz w:val="22"/>
          <w:u w:val="single"/>
        </w:rPr>
        <w:t>ECTRIC</w:t>
      </w:r>
      <w:r>
        <w:rPr>
          <w:rFonts w:ascii="Times New Roman" w:hAnsi="Times New Roman"/>
          <w:b/>
          <w:sz w:val="22"/>
        </w:rPr>
        <w:t>")]</w:t>
      </w:r>
      <w:r>
        <w:rPr>
          <w:rFonts w:ascii="Times New Roman" w:hAnsi="Times New Roman"/>
          <w:sz w:val="22"/>
        </w:rPr>
        <w:t xml:space="preserve">, Enron Capital &amp; Trade Resources Ltd. </w:t>
      </w:r>
      <w:r>
        <w:rPr>
          <w:rFonts w:ascii="Times New Roman" w:hAnsi="Times New Roman"/>
          <w:strike/>
          <w:sz w:val="22"/>
        </w:rPr>
        <w:t>{(“ECTRL”)}</w:t>
      </w:r>
      <w:r>
        <w:rPr>
          <w:rFonts w:ascii="Times New Roman" w:hAnsi="Times New Roman"/>
          <w:b/>
          <w:sz w:val="22"/>
        </w:rPr>
        <w:t>[("</w:t>
      </w:r>
      <w:r>
        <w:rPr>
          <w:rFonts w:ascii="Times New Roman" w:hAnsi="Times New Roman"/>
          <w:b/>
          <w:sz w:val="22"/>
          <w:u w:val="single"/>
        </w:rPr>
        <w:t>ECTRL</w:t>
      </w:r>
      <w:r>
        <w:rPr>
          <w:rFonts w:ascii="Times New Roman" w:hAnsi="Times New Roman"/>
          <w:b/>
          <w:sz w:val="22"/>
        </w:rPr>
        <w:t>")]</w:t>
      </w:r>
      <w:r>
        <w:rPr>
          <w:rFonts w:ascii="Times New Roman" w:hAnsi="Times New Roman"/>
          <w:sz w:val="22"/>
        </w:rPr>
        <w:t xml:space="preserve">, Enron Broadband Services, L.P. </w:t>
      </w:r>
      <w:r>
        <w:rPr>
          <w:rFonts w:ascii="Times New Roman" w:hAnsi="Times New Roman"/>
          <w:strike/>
          <w:sz w:val="22"/>
        </w:rPr>
        <w:t>{(“EBS”)}</w:t>
      </w:r>
      <w:r>
        <w:rPr>
          <w:rFonts w:ascii="Times New Roman" w:hAnsi="Times New Roman"/>
          <w:b/>
          <w:sz w:val="22"/>
        </w:rPr>
        <w:t>[("</w:t>
      </w:r>
      <w:r>
        <w:rPr>
          <w:rFonts w:ascii="Times New Roman" w:hAnsi="Times New Roman"/>
          <w:b/>
          <w:sz w:val="22"/>
          <w:u w:val="single"/>
        </w:rPr>
        <w:t>EBS</w:t>
      </w:r>
      <w:r>
        <w:rPr>
          <w:rFonts w:ascii="Times New Roman" w:hAnsi="Times New Roman"/>
          <w:b/>
          <w:sz w:val="22"/>
        </w:rPr>
        <w:t>")]</w:t>
      </w:r>
      <w:r>
        <w:rPr>
          <w:rFonts w:ascii="Times New Roman" w:hAnsi="Times New Roman"/>
          <w:sz w:val="22"/>
        </w:rPr>
        <w:t xml:space="preserve">, and Enron Canada </w:t>
      </w:r>
      <w:r>
        <w:rPr>
          <w:rFonts w:ascii="Times New Roman" w:hAnsi="Times New Roman"/>
          <w:strike/>
          <w:sz w:val="22"/>
        </w:rPr>
        <w:t>{Corp.(“ECC”)}</w:t>
      </w:r>
      <w:r>
        <w:rPr>
          <w:rFonts w:ascii="Times New Roman" w:hAnsi="Times New Roman"/>
          <w:sz w:val="22"/>
        </w:rPr>
        <w:t xml:space="preserve"> </w:t>
      </w:r>
      <w:r>
        <w:rPr>
          <w:rFonts w:ascii="Times New Roman" w:hAnsi="Times New Roman"/>
          <w:b/>
          <w:sz w:val="22"/>
        </w:rPr>
        <w:t>[Corp.("</w:t>
      </w:r>
      <w:r>
        <w:rPr>
          <w:rFonts w:ascii="Times New Roman" w:hAnsi="Times New Roman"/>
          <w:b/>
          <w:sz w:val="22"/>
          <w:u w:val="single"/>
        </w:rPr>
        <w:t>ECC</w:t>
      </w:r>
      <w:r>
        <w:rPr>
          <w:rFonts w:ascii="Times New Roman" w:hAnsi="Times New Roman"/>
          <w:b/>
          <w:sz w:val="22"/>
        </w:rPr>
        <w:t>")]</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OmniPage3"/>
        <w:tabs>
          <w:tab w:val="clear" w:pos="720"/>
          <w:tab w:val="right" w:pos="5656" w:leader="none"/>
        </w:tabs>
        <w:bidi w:val="0"/>
        <w:jc w:val="center"/>
        <w:rPr>
          <w:rFonts w:ascii="Times New Roman" w:hAnsi="Times New Roman"/>
          <w:b/>
          <w:sz w:val="22"/>
        </w:rPr>
      </w:pPr>
      <w:r>
        <w:rPr>
          <w:rFonts w:ascii="Times New Roman" w:hAnsi="Times New Roman"/>
          <w:b/>
          <w:sz w:val="22"/>
        </w:rPr>
        <w:t>RECITALS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 xml:space="preserve">The Parties (as defined) have had substantial business relationships over time and the entry into this Agreement by ENA, EPMI, EES, ECTRIC, ECTRL, EBS, and ECC is a material inducement to DMT, DYPM, DBMT, DCI, and DUK and the other members of the Counterparty Group (as defined) to continue to doing business with the members of the Enron Group (as defined). </w:t>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15" w:leader="none"/>
          <w:tab w:val="left" w:pos="1830" w:leader="none"/>
          <w:tab w:val="right" w:pos="9390" w:leader="none"/>
        </w:tabs>
        <w:bidi w:val="0"/>
        <w:jc w:val="both"/>
        <w:rPr>
          <w:rFonts w:ascii="Times New Roman" w:hAnsi="Times New Roman"/>
          <w:sz w:val="22"/>
        </w:rPr>
      </w:pPr>
      <w:r>
        <w:rPr>
          <w:rFonts w:ascii="Times New Roman" w:hAnsi="Times New Roman"/>
          <w:sz w:val="22"/>
        </w:rPr>
        <w:t>Simultaneous with the execution of this Agreement and as a material inducement to DMT, DYPM, DBMT, DCI, and DUK entering into this Agreement, Enron Corp. is entering into the Enron Group Guaranty Agreement by which Enron Corp. is to guarantee the obligations of each member of the Enron Group hereunder.</w:t>
      </w:r>
    </w:p>
    <w:p>
      <w:pPr>
        <w:pStyle w:val="OmniPage2"/>
        <w:tabs>
          <w:tab w:val="clear" w:pos="720"/>
          <w:tab w:val="left" w:pos="795" w:leader="none"/>
          <w:tab w:val="left" w:pos="1515" w:leader="none"/>
          <w:tab w:val="left" w:pos="1830" w:leader="none"/>
          <w:tab w:val="right" w:pos="9390"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15" w:leader="none"/>
          <w:tab w:val="left" w:pos="1830" w:leader="none"/>
          <w:tab w:val="right" w:pos="9390" w:leader="none"/>
        </w:tabs>
        <w:bidi w:val="0"/>
        <w:jc w:val="both"/>
        <w:rPr>
          <w:rFonts w:ascii="Times New Roman" w:hAnsi="Times New Roman"/>
          <w:sz w:val="22"/>
        </w:rPr>
      </w:pPr>
      <w:r>
        <w:rPr>
          <w:rFonts w:ascii="Times New Roman" w:hAnsi="Times New Roman"/>
          <w:sz w:val="22"/>
        </w:rPr>
        <w:t>The Enron Parties (defined below) and the Counterparty Parties (defined below) acknowledge that they each enter into this Agreement in the normal course of business in order to mitigate potential credit risk that may arise in connection with the number and scope of Underlying Master Agreements (defined below) that are currently in force, or in the future may be in force, between or among the Parties.</w:t>
      </w:r>
    </w:p>
    <w:p>
      <w:pPr>
        <w:pStyle w:val="OmniPage2"/>
        <w:tabs>
          <w:tab w:val="clear" w:pos="720"/>
          <w:tab w:val="left" w:pos="795" w:leader="none"/>
          <w:tab w:val="left" w:pos="1515" w:leader="none"/>
          <w:tab w:val="left" w:pos="1830" w:leader="none"/>
          <w:tab w:val="right" w:pos="9390"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15" w:leader="none"/>
          <w:tab w:val="left" w:pos="1830" w:leader="none"/>
          <w:tab w:val="right" w:pos="9390" w:leader="none"/>
        </w:tabs>
        <w:bidi w:val="0"/>
        <w:jc w:val="both"/>
        <w:rPr>
          <w:rFonts w:ascii="Times New Roman" w:hAnsi="Times New Roman"/>
          <w:sz w:val="22"/>
        </w:rPr>
      </w:pPr>
      <w:r>
        <w:rPr>
          <w:rFonts w:ascii="Times New Roman" w:hAnsi="Times New Roman"/>
          <w:sz w:val="22"/>
        </w:rPr>
        <w:t>ENA and DMT have entered into that certain ISDA Master Agreement dated effective as of January 27, 1992 (as the same may have been or may be amended, restated, supplemented, or otherwise modified from time to time, and including all Transactions, schedules, annexes, and confirmations thereunder, collectively, the "</w:t>
      </w:r>
      <w:r>
        <w:rPr>
          <w:rFonts w:ascii="Times New Roman" w:hAnsi="Times New Roman"/>
          <w:sz w:val="22"/>
          <w:u w:val="single"/>
        </w:rPr>
        <w:t>DMT Financial Master Agreement</w:t>
      </w:r>
      <w:r>
        <w:rPr>
          <w:rFonts w:ascii="Times New Roman" w:hAnsi="Times New Roman"/>
          <w:sz w:val="22"/>
        </w:rPr>
        <w:t>").</w:t>
      </w:r>
    </w:p>
    <w:p>
      <w:pPr>
        <w:pStyle w:val="Normal"/>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ENA and DMT have entered into that certain Master Firm Purchase/Sale Agreement dated as of July 1, 1993 (as the same may have been or may be amended, restated, supplemented, or otherwise modified from time to time, and including all Transactions, schedules, annexes, and confirmations thereunder, the "</w:t>
      </w:r>
      <w:r>
        <w:rPr>
          <w:rFonts w:ascii="Times New Roman" w:hAnsi="Times New Roman"/>
          <w:sz w:val="22"/>
          <w:u w:val="single"/>
        </w:rPr>
        <w:t>Gas EFP Master Agreement</w:t>
      </w:r>
      <w:r>
        <w:rPr>
          <w:rFonts w:ascii="Times New Roman" w:hAnsi="Times New Roman"/>
          <w:sz w:val="22"/>
        </w:rPr>
        <w:t xml:space="preserve">"). </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ENA and DMT have entered into that certain Master Firm Purchase/Sale Agreement dated as of July 1, 1993 (as the same may have been or may be amended, restated, supplemented, or otherwise modified from time to time, and including all Transactions, schedules, annexes, and confirmations thereunder, the "Physical </w:t>
      </w:r>
      <w:r>
        <w:rPr>
          <w:rFonts w:ascii="Times New Roman" w:hAnsi="Times New Roman"/>
          <w:sz w:val="22"/>
          <w:u w:val="single"/>
        </w:rPr>
        <w:t>Gas Master Agreement</w:t>
      </w:r>
      <w:r>
        <w:rPr>
          <w:rFonts w:ascii="Times New Roman" w:hAnsi="Times New Roman"/>
          <w:sz w:val="22"/>
        </w:rPr>
        <w:t xml:space="preserve">"). </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ENA and DMT have entered into that certain Master Coal Purchase and Sale Agreement dated as of February 16, 2000 (as the same may have been or may be amended, restated, supplemented, or otherwise modified from time to time, and including all Transactions, schedules, annexes, and confirmations thereunder, the "Coal</w:t>
      </w:r>
      <w:r>
        <w:rPr>
          <w:rFonts w:ascii="Times New Roman" w:hAnsi="Times New Roman"/>
          <w:sz w:val="22"/>
          <w:u w:val="single"/>
        </w:rPr>
        <w:t xml:space="preserve"> Master Agreement</w:t>
      </w:r>
      <w:r>
        <w:rPr>
          <w:rFonts w:ascii="Times New Roman" w:hAnsi="Times New Roman"/>
          <w:sz w:val="22"/>
        </w:rPr>
        <w:t xml:space="preserve">"). </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EES and DMT have entered into that certain Base Contract for Short-Term Sale and Purchase of Natural Gas dated as of _April 1, 2001 (as the same may have been or may be amended, restated, supplemented, or otherwise modified from time to time, and including all Transactions, schedules, special provisions, annexes, and confirmations thereunder, the </w:t>
      </w:r>
      <w:r>
        <w:rPr>
          <w:rFonts w:ascii="Times New Roman" w:hAnsi="Times New Roman"/>
          <w:strike/>
          <w:sz w:val="22"/>
        </w:rPr>
        <w:t>{“GISB}</w:t>
      </w:r>
      <w:r>
        <w:rPr>
          <w:rFonts w:ascii="Times New Roman" w:hAnsi="Times New Roman"/>
          <w:b/>
          <w:sz w:val="22"/>
        </w:rPr>
        <w:t>["GISB]</w:t>
      </w:r>
      <w:r>
        <w:rPr>
          <w:rFonts w:ascii="Times New Roman" w:hAnsi="Times New Roman"/>
          <w:sz w:val="22"/>
        </w:rPr>
        <w:t xml:space="preserve"> </w:t>
      </w:r>
      <w:r>
        <w:rPr>
          <w:rFonts w:ascii="Times New Roman" w:hAnsi="Times New Roman"/>
          <w:sz w:val="22"/>
          <w:u w:val="single"/>
        </w:rPr>
        <w:t xml:space="preserve">Physical Gas Master </w:t>
      </w:r>
      <w:r>
        <w:rPr>
          <w:rFonts w:ascii="Times New Roman" w:hAnsi="Times New Roman"/>
          <w:strike/>
          <w:sz w:val="22"/>
          <w:u w:val="single"/>
        </w:rPr>
        <w:t>{Agreement”)}</w:t>
      </w:r>
      <w:r>
        <w:rPr>
          <w:rFonts w:ascii="Times New Roman" w:hAnsi="Times New Roman"/>
          <w:sz w:val="22"/>
          <w:u w:val="single"/>
        </w:rPr>
        <w:t xml:space="preserve"> </w:t>
      </w:r>
      <w:r>
        <w:rPr>
          <w:rFonts w:ascii="Times New Roman" w:hAnsi="Times New Roman"/>
          <w:b/>
          <w:sz w:val="22"/>
          <w:u w:val="single"/>
        </w:rPr>
        <w:t>[Agreement"</w:t>
      </w:r>
      <w:r>
        <w:rPr>
          <w:rFonts w:ascii="Times New Roman" w:hAnsi="Times New Roman"/>
          <w:b/>
          <w:sz w:val="22"/>
        </w:rPr>
        <w:t>)]</w:t>
      </w:r>
      <w:r>
        <w:rPr>
          <w:rFonts w:ascii="Times New Roman" w:hAnsi="Times New Roman"/>
          <w:sz w:val="22"/>
        </w:rPr>
        <w:t>.</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EPMI and DYPM have entered into that certain Master Energy Purchase and Sale Agreement dated as of February 1, 1999 (as the same may have been or may be amended, restated, supplemented, or otherwise modified from time to time, and including all Transactions, schedules, annexes, and confirmations thereunder, the "</w:t>
      </w:r>
      <w:r>
        <w:rPr>
          <w:rFonts w:ascii="Times New Roman" w:hAnsi="Times New Roman"/>
          <w:sz w:val="22"/>
          <w:u w:val="single"/>
        </w:rPr>
        <w:t>Physical Power Master Agreement</w:t>
      </w:r>
      <w:r>
        <w:rPr>
          <w:rFonts w:ascii="Times New Roman" w:hAnsi="Times New Roman"/>
          <w:sz w:val="22"/>
        </w:rPr>
        <w:t xml:space="preserve">"). </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EPMI and DYPM have entered into that certain Western Systems Power Pool Agreement dated as of July 1, 2001 (as the same may have been or may be amended, restated, supplemented, or otherwise modified from time to time, and including all Transactions, schedules, annexes, and confirmations thereunder, the "WSPP </w:t>
      </w:r>
      <w:r>
        <w:rPr>
          <w:rFonts w:ascii="Times New Roman" w:hAnsi="Times New Roman"/>
          <w:sz w:val="22"/>
          <w:u w:val="single"/>
        </w:rPr>
        <w:t>Power Master Agreement</w:t>
      </w:r>
      <w:r>
        <w:rPr>
          <w:rFonts w:ascii="Times New Roman" w:hAnsi="Times New Roman"/>
          <w:sz w:val="22"/>
        </w:rPr>
        <w:t xml:space="preserve">"). </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EBS and DBMT have entered into that certain Master Agreement dated as of October 10, 2001 (as the same may have been or may be amended, restated, supplemented, or otherwise modified from time to time, and including all Transactions, schedules, annexes, and confirmations thereunder, the </w:t>
      </w:r>
      <w:r>
        <w:rPr>
          <w:rFonts w:ascii="Times New Roman" w:hAnsi="Times New Roman"/>
          <w:strike/>
          <w:sz w:val="22"/>
        </w:rPr>
        <w:t>{“Broadband}</w:t>
      </w:r>
      <w:r>
        <w:rPr>
          <w:rFonts w:ascii="Times New Roman" w:hAnsi="Times New Roman"/>
          <w:b/>
          <w:sz w:val="22"/>
        </w:rPr>
        <w:t>["Broadband]</w:t>
      </w:r>
      <w:r>
        <w:rPr>
          <w:rFonts w:ascii="Times New Roman" w:hAnsi="Times New Roman"/>
          <w:sz w:val="22"/>
        </w:rPr>
        <w:t xml:space="preserve"> Master </w:t>
      </w:r>
      <w:r>
        <w:rPr>
          <w:rFonts w:ascii="Times New Roman" w:hAnsi="Times New Roman"/>
          <w:strike/>
          <w:sz w:val="22"/>
        </w:rPr>
        <w:t>{Agreement”)}</w:t>
      </w:r>
      <w:r>
        <w:rPr>
          <w:rFonts w:ascii="Times New Roman" w:hAnsi="Times New Roman"/>
          <w:sz w:val="22"/>
        </w:rPr>
        <w:t xml:space="preserve"> </w:t>
      </w:r>
      <w:r>
        <w:rPr>
          <w:rFonts w:ascii="Times New Roman" w:hAnsi="Times New Roman"/>
          <w:b/>
          <w:sz w:val="22"/>
        </w:rPr>
        <w:t>[Agreement")]</w:t>
      </w:r>
      <w:r>
        <w:rPr>
          <w:rFonts w:ascii="Times New Roman" w:hAnsi="Times New Roman"/>
          <w:sz w:val="22"/>
        </w:rPr>
        <w:t>.</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b/>
          <w:sz w:val="22"/>
        </w:rPr>
      </w:pPr>
      <w:r>
        <w:rPr>
          <w:rFonts w:ascii="Times New Roman" w:hAnsi="Times New Roman"/>
          <w:sz w:val="22"/>
        </w:rPr>
        <w:t>ECC and DCI have entered into that certain ISDA Master Agreement dated effective as of June 16, 1995 (as the same may have been or may be amended, restated, supplemented, or otherwise modified from time to time, and including all Transactions, schedules, annexes, and confirmations thereunder, collectively, the "DCI</w:t>
      </w:r>
      <w:r>
        <w:rPr>
          <w:rFonts w:ascii="Times New Roman" w:hAnsi="Times New Roman"/>
          <w:sz w:val="22"/>
          <w:u w:val="single"/>
        </w:rPr>
        <w:t xml:space="preserve"> Financial Master Agreement</w:t>
      </w:r>
      <w:r>
        <w:rPr>
          <w:rFonts w:ascii="Times New Roman" w:hAnsi="Times New Roman"/>
          <w:sz w:val="22"/>
        </w:rPr>
        <w:t>").</w:t>
      </w:r>
      <w:r>
        <w:rPr>
          <w:rFonts w:ascii="Times New Roman" w:hAnsi="Times New Roman"/>
          <w:b/>
          <w:sz w:val="22"/>
        </w:rPr>
        <w:t xml:space="preserve"> </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b/>
          <w:sz w:val="22"/>
        </w:rPr>
      </w:pPr>
      <w:r>
        <w:rPr>
          <w:rFonts w:ascii="Times New Roman" w:hAnsi="Times New Roman"/>
          <w:b/>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ECTRL and DUK have entered into that certain Zeebrugge Natural Gas Trading Term and Conditions (ZBT 99) dated as of December 16, 1999 (per an Amendment) (as the same may have been or may be amended, restated, supplemented, or otherwise modified from time to time, and including all Transactions, schedules, annexes, and confirmations thereunder, the "European ZBT </w:t>
      </w:r>
      <w:r>
        <w:rPr>
          <w:rFonts w:ascii="Times New Roman" w:hAnsi="Times New Roman"/>
          <w:sz w:val="22"/>
          <w:u w:val="single"/>
        </w:rPr>
        <w:t>Gas Master Agreement</w:t>
      </w:r>
      <w:r>
        <w:rPr>
          <w:rFonts w:ascii="Times New Roman" w:hAnsi="Times New Roman"/>
          <w:sz w:val="22"/>
        </w:rPr>
        <w:t>").</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ECTRL and DUK have entered into that certain Master Gas Agreement for Beach and NBP Trades dated as of July 28, 1997 (as the same may have been or may be amended, restated, supplemented, or otherwise modified from time to time, and including all Transactions, schedules, annexes, and confirmations thereunder, the "European Beach/NBP </w:t>
      </w:r>
      <w:r>
        <w:rPr>
          <w:rFonts w:ascii="Times New Roman" w:hAnsi="Times New Roman"/>
          <w:sz w:val="22"/>
          <w:u w:val="single"/>
        </w:rPr>
        <w:t>Gas Master Agreement</w:t>
      </w:r>
      <w:r>
        <w:rPr>
          <w:rFonts w:ascii="Times New Roman" w:hAnsi="Times New Roman"/>
          <w:sz w:val="22"/>
        </w:rPr>
        <w:t>").</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ECTRIC, ECTRL and DUK have entered into that certain Grid Trade Master Agreement dated as of March 6, 2001 (as the same may have been or may be amended, restated, supplemented, or otherwise modified from time to time, and including all Transactions, schedules, annexes, and confirmations thereunder, the "European Grid Power </w:t>
      </w:r>
      <w:r>
        <w:rPr>
          <w:rFonts w:ascii="Times New Roman" w:hAnsi="Times New Roman"/>
          <w:sz w:val="22"/>
          <w:u w:val="single"/>
        </w:rPr>
        <w:t>Master Agreement</w:t>
      </w:r>
      <w:r>
        <w:rPr>
          <w:rFonts w:ascii="Times New Roman" w:hAnsi="Times New Roman"/>
          <w:sz w:val="22"/>
        </w:rPr>
        <w:t>").</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ECTRIC, ECTRL and DUK have entered into that certain Electricity Forward Agreement (as the same may have been or may be amended, restated, supplemented, or otherwise modified from time to time, and including all Transactions, schedules, annexes, and confirmations thereunder, the "European EFA </w:t>
      </w:r>
      <w:r>
        <w:rPr>
          <w:rFonts w:ascii="Times New Roman" w:hAnsi="Times New Roman"/>
          <w:sz w:val="22"/>
          <w:u w:val="single"/>
        </w:rPr>
        <w:t>Master Agreement</w:t>
      </w:r>
      <w:r>
        <w:rPr>
          <w:rFonts w:ascii="Times New Roman" w:hAnsi="Times New Roman"/>
          <w:sz w:val="22"/>
        </w:rPr>
        <w:t>").</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Various Enron Parties (as defined)</w:t>
      </w:r>
      <w:r>
        <w:rPr>
          <w:rFonts w:ascii="Times New Roman" w:hAnsi="Times New Roman"/>
          <w:b/>
          <w:sz w:val="22"/>
        </w:rPr>
        <w:t xml:space="preserve"> </w:t>
      </w:r>
      <w:r>
        <w:rPr>
          <w:rFonts w:ascii="Times New Roman" w:hAnsi="Times New Roman"/>
          <w:sz w:val="22"/>
        </w:rPr>
        <w:t>and various Counterparty Parties (as defined) have entered into various confirmations and general terms and conditions in the nature of "forward contracts"</w:t>
      </w:r>
      <w:r>
        <w:rPr>
          <w:rFonts w:ascii="Times New Roman" w:hAnsi="Times New Roman"/>
          <w:b/>
          <w:sz w:val="22"/>
        </w:rPr>
        <w:t xml:space="preserve"> </w:t>
      </w:r>
      <w:r>
        <w:rPr>
          <w:rFonts w:ascii="Times New Roman" w:hAnsi="Times New Roman"/>
          <w:sz w:val="22"/>
        </w:rPr>
        <w:t>and</w:t>
      </w:r>
      <w:r>
        <w:rPr>
          <w:rFonts w:ascii="Times New Roman" w:hAnsi="Times New Roman"/>
          <w:b/>
          <w:sz w:val="22"/>
        </w:rPr>
        <w:t xml:space="preserve"> </w:t>
      </w:r>
      <w:r>
        <w:rPr>
          <w:rFonts w:ascii="Times New Roman" w:hAnsi="Times New Roman"/>
          <w:sz w:val="22"/>
        </w:rPr>
        <w:t>"swap agreements"</w:t>
      </w:r>
      <w:r>
        <w:rPr>
          <w:rFonts w:ascii="Times New Roman" w:hAnsi="Times New Roman"/>
          <w:b/>
          <w:sz w:val="22"/>
        </w:rPr>
        <w:t xml:space="preserve"> </w:t>
      </w:r>
      <w:r>
        <w:rPr>
          <w:rFonts w:ascii="Times New Roman" w:hAnsi="Times New Roman"/>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rFonts w:ascii="Times New Roman" w:hAnsi="Times New Roman"/>
          <w:sz w:val="22"/>
          <w:u w:val="single"/>
        </w:rPr>
        <w:t>Other Agreements</w:t>
      </w:r>
      <w:r>
        <w:rPr>
          <w:rFonts w:ascii="Times New Roman" w:hAnsi="Times New Roman"/>
          <w:sz w:val="22"/>
        </w:rPr>
        <w:t>").</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 xml:space="preserve">The DMT Financial Master Agreement, the Gas EFP Master Agreement, the Physical Gas Master Agreement, the Coal Master Agreement, the GISB </w:t>
      </w:r>
      <w:r>
        <w:rPr>
          <w:rFonts w:ascii="Times New Roman" w:hAnsi="Times New Roman"/>
          <w:sz w:val="22"/>
          <w:u w:val="single"/>
        </w:rPr>
        <w:t xml:space="preserve">Physical Gas Master Agreement, </w:t>
      </w:r>
      <w:r>
        <w:rPr>
          <w:rFonts w:ascii="Times New Roman" w:hAnsi="Times New Roman"/>
          <w:sz w:val="22"/>
        </w:rPr>
        <w:t>the Physical Power Master Agreement, the WSPP Power Master Agreement, the Broadband Master Agreement, the DCI Financial Master Agreement, the European ZBT Gas Master Agreement, the European Beach/NBP Gas Master Agreement, the European Grid Power Master Agreement, the European EFA Master Agreement, and any Other Agreements are referred to herein, collectively, as the "</w:t>
      </w:r>
      <w:r>
        <w:rPr>
          <w:rFonts w:ascii="Times New Roman" w:hAnsi="Times New Roman"/>
          <w:sz w:val="22"/>
          <w:u w:val="single"/>
        </w:rPr>
        <w:t>Existing Underlying Master Agreements</w:t>
      </w:r>
      <w:r>
        <w:rPr>
          <w:rFonts w:ascii="Times New Roman" w:hAnsi="Times New Roman"/>
          <w:sz w:val="22"/>
        </w:rPr>
        <w:t>."</w:t>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r>
    </w:p>
    <w:p>
      <w:pPr>
        <w:pStyle w:val="OmniPage2"/>
        <w:tabs>
          <w:tab w:val="clear" w:pos="720"/>
          <w:tab w:val="left" w:pos="795" w:leader="none"/>
          <w:tab w:val="left" w:pos="1500" w:leader="none"/>
          <w:tab w:val="left" w:pos="1830" w:leader="none"/>
          <w:tab w:val="right" w:pos="9406" w:leader="none"/>
        </w:tabs>
        <w:bidi w:val="0"/>
        <w:jc w:val="both"/>
        <w:rPr>
          <w:rFonts w:ascii="Times New Roman" w:hAnsi="Times New Roman"/>
          <w:sz w:val="22"/>
        </w:rPr>
      </w:pPr>
      <w:r>
        <w:rPr>
          <w:rFonts w:ascii="Times New Roman" w:hAnsi="Times New Roman"/>
          <w:sz w:val="22"/>
        </w:rPr>
        <w:t>The Enron Parties and the Counterparty Parties may after the date of this Agreement enter into master agreements or other confirmation agreements in the nature of "forward contracts" and "swap agreements" as defined in the United States Bankruptcy Code (as defined)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rFonts w:ascii="Times New Roman" w:hAnsi="Times New Roman"/>
          <w:sz w:val="22"/>
          <w:u w:val="single"/>
        </w:rPr>
        <w:t>Underlying Master Agreements</w:t>
      </w:r>
      <w:r>
        <w:rPr>
          <w:rFonts w:ascii="Times New Roman" w:hAnsi="Times New Roman"/>
          <w:sz w:val="22"/>
        </w:rPr>
        <w:t>" and each individually, as an "</w:t>
      </w:r>
      <w:r>
        <w:rPr>
          <w:rFonts w:ascii="Times New Roman" w:hAnsi="Times New Roman"/>
          <w:sz w:val="22"/>
          <w:u w:val="single"/>
        </w:rPr>
        <w:t>Underlying Master Agreement</w:t>
      </w:r>
      <w:r>
        <w:rPr>
          <w:rFonts w:ascii="Times New Roman" w:hAnsi="Times New Roman"/>
          <w:sz w:val="22"/>
        </w:rPr>
        <w:t xml:space="preserve">.")    </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 xml:space="preserve">Each Enron Party desires now to provide in this Agreement for its right to terminate, liquidate, net, and setoff upon a Default by any Counterparty Party under any one or more of the Underlying Master Agreements as herein specified, including, without limitation, by permitting each Enron Party to terminate, liquidate, net, and setoff across all of the Underlying Master Agreements and all Transactions thereunder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and setoff upon a Default by any Enron Party under any one or more of the Underlying Master Agreements as herein specified, including, without limitation, by permitting each Counterparty Party to terminate, liquidate, net, setoff across all of the Underlying Master Agreements and all Transactions thereunder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bidi w:val="0"/>
        <w:ind w:end="45"/>
        <w:jc w:val="both"/>
        <w:rPr>
          <w:rFonts w:ascii="Times New Roman" w:hAnsi="Times New Roman"/>
          <w:sz w:val="22"/>
        </w:rPr>
      </w:pPr>
      <w:r>
        <w:rPr>
          <w:rFonts w:ascii="Times New Roman" w:hAnsi="Times New Roman"/>
          <w:sz w:val="22"/>
        </w:rPr>
      </w:r>
    </w:p>
    <w:p>
      <w:pPr>
        <w:pStyle w:val="OmniPage4"/>
        <w:bidi w:val="0"/>
        <w:ind w:firstLine="720" w:end="60"/>
        <w:jc w:val="both"/>
        <w:rPr>
          <w:rFonts w:ascii="Times New Roman" w:hAnsi="Times New Roman"/>
          <w:sz w:val="22"/>
        </w:rPr>
      </w:pPr>
      <w:r>
        <w:rPr>
          <w:rFonts w:ascii="Times New Roman" w:hAnsi="Times New Roman"/>
          <w:b/>
          <w:sz w:val="22"/>
        </w:rPr>
        <w:t xml:space="preserve">NOW THEREFORE, </w:t>
      </w:r>
      <w:r>
        <w:rPr>
          <w:rFonts w:ascii="Times New Roman" w:hAnsi="Times New Roman"/>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bidi w:val="0"/>
        <w:jc w:val="both"/>
        <w:rPr>
          <w:rFonts w:ascii="Times New Roman" w:hAnsi="Times New Roman"/>
          <w:sz w:val="22"/>
        </w:rPr>
      </w:pPr>
      <w:r>
        <w:rPr>
          <w:rFonts w:ascii="Times New Roman" w:hAnsi="Times New Roman"/>
          <w:sz w:val="22"/>
        </w:rPr>
      </w:r>
    </w:p>
    <w:p>
      <w:pPr>
        <w:pStyle w:val="OmniPage4"/>
        <w:bidi w:val="0"/>
        <w:ind w:firstLine="720" w:end="75"/>
        <w:jc w:val="both"/>
        <w:rPr>
          <w:rFonts w:ascii="Times New Roman" w:hAnsi="Times New Roman"/>
          <w:sz w:val="22"/>
        </w:rPr>
      </w:pPr>
      <w:r>
        <w:rPr>
          <w:rFonts w:ascii="Times New Roman" w:hAnsi="Times New Roman"/>
          <w:b/>
          <w:sz w:val="22"/>
        </w:rPr>
        <w:t xml:space="preserve">1.    Definitions.    </w:t>
      </w:r>
      <w:r>
        <w:rPr>
          <w:rFonts w:ascii="Times New Roman" w:hAnsi="Times New Roman"/>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(b) The following terms used in this Agreement are defined as follows:</w:t>
      </w:r>
    </w:p>
    <w:p>
      <w:pPr>
        <w:pStyle w:val="OmniPage2"/>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Affiliate</w:t>
      </w:r>
      <w:r>
        <w:rPr>
          <w:rFonts w:ascii="Times New Roman" w:hAnsi="Times New Roman"/>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bidi w:val="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BIA</w:t>
      </w:r>
      <w:r>
        <w:rPr>
          <w:rFonts w:ascii="Times New Roman" w:hAnsi="Times New Roman"/>
          <w:sz w:val="22"/>
        </w:rPr>
        <w:t xml:space="preserve">" means the </w:t>
      </w:r>
      <w:r>
        <w:rPr>
          <w:rFonts w:ascii="Times New Roman" w:hAnsi="Times New Roman"/>
          <w:i/>
          <w:sz w:val="22"/>
        </w:rPr>
        <w:t xml:space="preserve">Bankruptcy and Insolvency Act </w:t>
      </w:r>
      <w:r>
        <w:rPr>
          <w:rFonts w:ascii="Times New Roman" w:hAnsi="Times New Roman"/>
          <w:sz w:val="22"/>
        </w:rPr>
        <w:t>(Canada), R.S.C. 1985, c.B-3 as the same may be amended, restated, replaced, or re-enacted from time to time.</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Business Day</w:t>
      </w:r>
      <w:r>
        <w:rPr>
          <w:rFonts w:ascii="Times New Roman" w:hAnsi="Times New Roman"/>
          <w:sz w:val="22"/>
        </w:rPr>
        <w:t>" means a day on which commercial banks and foreign exchange markets settle payments and are open for general business in the location of the head office of each Party.</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Claims</w:t>
      </w:r>
      <w:r>
        <w:rPr>
          <w:rFonts w:ascii="Times New Roman" w:hAnsi="Times New Roman"/>
          <w:sz w:val="22"/>
        </w:rPr>
        <w:t xml:space="preserve">" has the meaning set forth in Section </w:t>
      </w:r>
      <w:r>
        <w:rPr>
          <w:rFonts w:ascii="Times New Roman" w:hAnsi="Times New Roman"/>
          <w:strike/>
          <w:sz w:val="22"/>
        </w:rPr>
        <w:t>{16}</w:t>
      </w:r>
      <w:r>
        <w:rPr>
          <w:rFonts w:ascii="Times New Roman" w:hAnsi="Times New Roman"/>
          <w:sz w:val="22"/>
        </w:rPr>
        <w:t xml:space="preserve"> </w:t>
      </w:r>
      <w:r>
        <w:rPr>
          <w:rFonts w:ascii="Times New Roman" w:hAnsi="Times New Roman"/>
          <w:b/>
          <w:sz w:val="22"/>
        </w:rPr>
        <w:t>[15]</w:t>
      </w:r>
      <w:r>
        <w:rPr>
          <w:rFonts w:ascii="Times New Roman" w:hAnsi="Times New Roman"/>
          <w:sz w:val="22"/>
        </w:rPr>
        <w:t>.</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Counterparty Affiliate</w:t>
      </w:r>
      <w:r>
        <w:rPr>
          <w:rFonts w:ascii="Times New Roman" w:hAnsi="Times New Roman"/>
          <w:sz w:val="22"/>
        </w:rPr>
        <w:t>" means each Counterparty Party and each of its now and hereafter existing Affiliates.</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b/>
        <w:t>"</w:t>
      </w:r>
      <w:r>
        <w:rPr>
          <w:rFonts w:ascii="Times New Roman" w:hAnsi="Times New Roman"/>
          <w:sz w:val="22"/>
          <w:u w:val="single"/>
        </w:rPr>
        <w:t>Counterparty Group</w:t>
      </w:r>
      <w:r>
        <w:rPr>
          <w:rFonts w:ascii="Times New Roman" w:hAnsi="Times New Roman"/>
          <w:sz w:val="22"/>
        </w:rPr>
        <w:t>" means all Counterparty Parties.</w:t>
      </w:r>
    </w:p>
    <w:p>
      <w:pPr>
        <w:pStyle w:val="Normal"/>
        <w:bidi w:val="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b/>
          <w:sz w:val="22"/>
        </w:rPr>
      </w:pPr>
      <w:r>
        <w:rPr>
          <w:rFonts w:ascii="Times New Roman" w:hAnsi="Times New Roman"/>
          <w:sz w:val="22"/>
        </w:rPr>
        <w:t>"</w:t>
      </w:r>
      <w:r>
        <w:rPr>
          <w:rFonts w:ascii="Times New Roman" w:hAnsi="Times New Roman"/>
          <w:sz w:val="22"/>
          <w:u w:val="single"/>
        </w:rPr>
        <w:t>Counterparty Group Guaranty Agreement</w:t>
      </w:r>
      <w:r>
        <w:rPr>
          <w:rFonts w:ascii="Times New Roman" w:hAnsi="Times New Roman"/>
          <w:sz w:val="22"/>
        </w:rPr>
        <w:t>" means the guaranty agreement of Dynegy Holdings Inc. to be delivered to Enron Group pursuant to this Agreement.</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Counterparty Party</w:t>
      </w:r>
      <w:r>
        <w:rPr>
          <w:rFonts w:ascii="Times New Roman" w:hAnsi="Times New Roman"/>
          <w:sz w:val="22"/>
        </w:rPr>
        <w:t>" means any of DMT, DYPM, DBMT, DCI, and DUK.</w:t>
      </w:r>
    </w:p>
    <w:p>
      <w:pPr>
        <w:pStyle w:val="Normal"/>
        <w:bidi w:val="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Default</w:t>
      </w:r>
      <w:r>
        <w:rPr>
          <w:rFonts w:ascii="Times New Roman" w:hAnsi="Times New Roman"/>
          <w:sz w:val="22"/>
        </w:rPr>
        <w:t>" has the meaning set forth in Section 2.</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Defaulting Group</w:t>
      </w:r>
      <w:r>
        <w:rPr>
          <w:rFonts w:ascii="Times New Roman" w:hAnsi="Times New Roman"/>
          <w:sz w:val="22"/>
        </w:rPr>
        <w:t>" means (i) Enron Group when a Default has occurred with respect to any Enron Party ("</w:t>
      </w:r>
      <w:r>
        <w:rPr>
          <w:rFonts w:ascii="Times New Roman" w:hAnsi="Times New Roman"/>
          <w:sz w:val="22"/>
          <w:u w:val="single"/>
        </w:rPr>
        <w:t>Defaulting Enron Party"</w:t>
      </w:r>
      <w:r>
        <w:rPr>
          <w:rFonts w:ascii="Times New Roman" w:hAnsi="Times New Roman"/>
          <w:sz w:val="22"/>
        </w:rPr>
        <w:t>), and (ii) Counterparty Group when a Default has occurred with respect to any Counterparty Party ("</w:t>
      </w:r>
      <w:r>
        <w:rPr>
          <w:rFonts w:ascii="Times New Roman" w:hAnsi="Times New Roman"/>
          <w:sz w:val="22"/>
          <w:u w:val="single"/>
        </w:rPr>
        <w:t>Defaulting Counterparty Party</w:t>
      </w:r>
      <w:r>
        <w:rPr>
          <w:rFonts w:ascii="Times New Roman" w:hAnsi="Times New Roman"/>
          <w:sz w:val="22"/>
        </w:rPr>
        <w:t>").</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Defaulting Party</w:t>
      </w:r>
      <w:r>
        <w:rPr>
          <w:rFonts w:ascii="Times New Roman" w:hAnsi="Times New Roman"/>
          <w:sz w:val="22"/>
        </w:rPr>
        <w:t>" means (i) each Enron Party when a Default has occurred with respect to a Defaulting Enron Party and (ii) each Counterparty Party when a Default has occurred with respect to a Defaulting Counterparty Party.</w:t>
      </w:r>
    </w:p>
    <w:p>
      <w:pPr>
        <w:pStyle w:val="OmniPage2"/>
        <w:bidi w:val="0"/>
        <w:ind w:firstLine="720"/>
        <w:jc w:val="both"/>
        <w:rPr>
          <w:rFonts w:ascii="Times New Roman" w:hAnsi="Times New Roman"/>
          <w:sz w:val="22"/>
        </w:rPr>
      </w:pPr>
      <w:r>
        <w:rPr>
          <w:rFonts w:ascii="Times New Roman" w:hAnsi="Times New Roman"/>
          <w:sz w:val="22"/>
        </w:rPr>
      </w:r>
    </w:p>
    <w:p>
      <w:pPr>
        <w:pStyle w:val="OmniPage2"/>
        <w:bidi w:val="0"/>
        <w:ind w:hanging="15" w:start="735"/>
        <w:jc w:val="both"/>
        <w:rPr>
          <w:rFonts w:ascii="Times New Roman" w:hAnsi="Times New Roman"/>
          <w:sz w:val="22"/>
        </w:rPr>
      </w:pPr>
      <w:r>
        <w:rPr>
          <w:rFonts w:ascii="Times New Roman" w:hAnsi="Times New Roman"/>
          <w:sz w:val="22"/>
        </w:rPr>
        <w:t>"</w:t>
      </w:r>
      <w:r>
        <w:rPr>
          <w:rFonts w:ascii="Times New Roman" w:hAnsi="Times New Roman"/>
          <w:sz w:val="22"/>
          <w:u w:val="single"/>
        </w:rPr>
        <w:t>Enron Affiliate</w:t>
      </w:r>
      <w:r>
        <w:rPr>
          <w:rFonts w:ascii="Times New Roman" w:hAnsi="Times New Roman"/>
          <w:sz w:val="22"/>
        </w:rPr>
        <w:t>" means each Enron Party and each of its now and hereafter existing Affiliates.</w:t>
      </w:r>
    </w:p>
    <w:p>
      <w:pPr>
        <w:pStyle w:val="OmniPage2"/>
        <w:bidi w:val="0"/>
        <w:ind w:hanging="15" w:start="735"/>
        <w:jc w:val="both"/>
        <w:rPr>
          <w:rFonts w:ascii="Times New Roman" w:hAnsi="Times New Roman"/>
          <w:sz w:val="22"/>
        </w:rPr>
      </w:pPr>
      <w:r>
        <w:rPr>
          <w:rFonts w:ascii="Times New Roman" w:hAnsi="Times New Roman"/>
          <w:sz w:val="22"/>
        </w:rPr>
      </w:r>
    </w:p>
    <w:p>
      <w:pPr>
        <w:pStyle w:val="OmniPage2"/>
        <w:bidi w:val="0"/>
        <w:ind w:hanging="15" w:start="735"/>
        <w:jc w:val="both"/>
        <w:rPr>
          <w:rFonts w:ascii="Times New Roman" w:hAnsi="Times New Roman"/>
          <w:sz w:val="22"/>
        </w:rPr>
      </w:pPr>
      <w:r>
        <w:rPr>
          <w:rFonts w:ascii="Times New Roman" w:hAnsi="Times New Roman"/>
          <w:sz w:val="22"/>
        </w:rPr>
        <w:t>"</w:t>
      </w:r>
      <w:r>
        <w:rPr>
          <w:rFonts w:ascii="Times New Roman" w:hAnsi="Times New Roman"/>
          <w:sz w:val="22"/>
          <w:u w:val="single"/>
        </w:rPr>
        <w:t>Enron Group</w:t>
      </w:r>
      <w:r>
        <w:rPr>
          <w:rFonts w:ascii="Times New Roman" w:hAnsi="Times New Roman"/>
          <w:sz w:val="22"/>
        </w:rPr>
        <w:t>" means all Enron Parties.</w:t>
      </w:r>
    </w:p>
    <w:p>
      <w:pPr>
        <w:pStyle w:val="OmniPage2"/>
        <w:bidi w:val="0"/>
        <w:ind w:hanging="15" w:start="735"/>
        <w:jc w:val="both"/>
        <w:rPr>
          <w:rFonts w:ascii="Times New Roman" w:hAnsi="Times New Roman"/>
          <w:sz w:val="22"/>
        </w:rPr>
      </w:pPr>
      <w:r>
        <w:rPr>
          <w:rFonts w:ascii="Times New Roman" w:hAnsi="Times New Roman"/>
          <w:sz w:val="22"/>
        </w:rPr>
      </w:r>
    </w:p>
    <w:p>
      <w:pPr>
        <w:pStyle w:val="OmniPage2"/>
        <w:bidi w:val="0"/>
        <w:ind w:firstLine="720"/>
        <w:jc w:val="both"/>
        <w:rPr>
          <w:rFonts w:ascii="Times New Roman" w:hAnsi="Times New Roman"/>
          <w:b/>
          <w:sz w:val="22"/>
        </w:rPr>
      </w:pPr>
      <w:r>
        <w:rPr>
          <w:rFonts w:ascii="Times New Roman" w:hAnsi="Times New Roman"/>
          <w:sz w:val="22"/>
        </w:rPr>
        <w:t>"</w:t>
      </w:r>
      <w:r>
        <w:rPr>
          <w:rFonts w:ascii="Times New Roman" w:hAnsi="Times New Roman"/>
          <w:sz w:val="22"/>
          <w:u w:val="single"/>
        </w:rPr>
        <w:t>Enron Group Guaranty Agreement</w:t>
      </w:r>
      <w:r>
        <w:rPr>
          <w:rFonts w:ascii="Times New Roman" w:hAnsi="Times New Roman"/>
          <w:sz w:val="22"/>
        </w:rPr>
        <w:t>" means the guaranty agreement of Enron Corp. to be delivered to Counterparty Group pursuant to this Agreement.</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670" w:start="50" w:end="100"/>
        <w:jc w:val="both"/>
        <w:rPr>
          <w:rFonts w:ascii="Times New Roman" w:hAnsi="Times New Roman"/>
          <w:sz w:val="22"/>
          <w:u w:val="single"/>
        </w:rPr>
      </w:pPr>
      <w:r>
        <w:rPr>
          <w:rFonts w:ascii="Times New Roman" w:hAnsi="Times New Roman"/>
          <w:sz w:val="22"/>
        </w:rPr>
        <w:t>"</w:t>
      </w:r>
      <w:r>
        <w:rPr>
          <w:rFonts w:ascii="Times New Roman" w:hAnsi="Times New Roman"/>
          <w:sz w:val="22"/>
          <w:u w:val="single"/>
        </w:rPr>
        <w:t>Enron Party</w:t>
      </w:r>
      <w:r>
        <w:rPr>
          <w:rFonts w:ascii="Times New Roman" w:hAnsi="Times New Roman"/>
          <w:sz w:val="22"/>
        </w:rPr>
        <w:t>" means any of ENA, EPMI, EES, ECTRIC, ECTRL, EBS, and ECC.</w:t>
      </w:r>
      <w:r>
        <w:rPr>
          <w:rFonts w:ascii="Times New Roman" w:hAnsi="Times New Roman"/>
          <w:b/>
          <w:sz w:val="22"/>
        </w:rPr>
        <w:t xml:space="preserve"> </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Final Settlement Amount</w:t>
      </w:r>
      <w:r>
        <w:rPr>
          <w:rFonts w:ascii="Times New Roman" w:hAnsi="Times New Roman"/>
          <w:sz w:val="22"/>
        </w:rPr>
        <w:t>" has the meaning set forth in Section 4.</w:t>
      </w:r>
    </w:p>
    <w:p>
      <w:pPr>
        <w:pStyle w:val="Normal"/>
        <w:bidi w:val="0"/>
        <w:ind w:firstLine="720"/>
        <w:jc w:val="both"/>
        <w:rPr>
          <w:rFonts w:ascii="Times New Roman" w:hAnsi="Times New Roman"/>
          <w:sz w:val="22"/>
        </w:rPr>
      </w:pPr>
      <w:r>
        <w:rPr>
          <w:rFonts w:ascii="Times New Roman" w:hAnsi="Times New Roman"/>
          <w:sz w:val="22"/>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Group</w:t>
      </w:r>
      <w:r>
        <w:rPr>
          <w:rFonts w:ascii="Times New Roman" w:hAnsi="Times New Roman"/>
          <w:sz w:val="22"/>
        </w:rPr>
        <w:t>" means Enron Group or Counterparty Group, as applicable.</w:t>
      </w:r>
    </w:p>
    <w:p>
      <w:pPr>
        <w:pStyle w:val="Normal"/>
        <w:bidi w:val="0"/>
        <w:ind w:firstLine="720"/>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b/>
          <w:sz w:val="22"/>
        </w:rPr>
      </w:pPr>
      <w:r>
        <w:rPr>
          <w:rFonts w:ascii="Times New Roman" w:hAnsi="Times New Roman"/>
          <w:sz w:val="22"/>
        </w:rPr>
        <w:t>"</w:t>
      </w:r>
      <w:r>
        <w:rPr>
          <w:rFonts w:ascii="Times New Roman" w:hAnsi="Times New Roman"/>
          <w:sz w:val="22"/>
          <w:u w:val="single"/>
        </w:rPr>
        <w:t>Guarantor</w:t>
      </w:r>
      <w:r>
        <w:rPr>
          <w:rFonts w:ascii="Times New Roman" w:hAnsi="Times New Roman"/>
          <w:sz w:val="22"/>
        </w:rPr>
        <w:t>" means with respect to Enron Group, Enron Corp., and with respect to Counterparty Group, Dynegy Holdings Inc.</w:t>
      </w:r>
    </w:p>
    <w:p>
      <w:pPr>
        <w:pStyle w:val="OmniPage5"/>
        <w:bidi w:val="0"/>
        <w:ind w:firstLine="710" w:start="50" w:end="100"/>
        <w:jc w:val="both"/>
        <w:rPr>
          <w:rFonts w:ascii="Times New Roman" w:hAnsi="Times New Roman"/>
          <w:sz w:val="22"/>
        </w:rPr>
      </w:pPr>
      <w:r>
        <w:rPr>
          <w:rFonts w:ascii="Times New Roman" w:hAnsi="Times New Roman"/>
          <w:sz w:val="22"/>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Non-defaulting Group</w:t>
      </w:r>
      <w:r>
        <w:rPr>
          <w:rFonts w:ascii="Times New Roman" w:hAnsi="Times New Roman"/>
          <w:sz w:val="22"/>
        </w:rPr>
        <w:t>" means (i) Enron Group when a Default has occurred with respect to a Defaulting Counterparty Party and (ii) Counterparty Group when a Default has occurred with respect to a Defaulting Enron Party.</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Non-defaulting Party</w:t>
      </w:r>
      <w:r>
        <w:rPr>
          <w:rFonts w:ascii="Times New Roman" w:hAnsi="Times New Roman"/>
          <w:sz w:val="22"/>
        </w:rPr>
        <w:t>" means (i) each Enron Party when a Default has occurred with respect to a Defaulting Counterparty Party and (ii) each Counterparty Party when a Default has occurred with respect to a Defaulting Enron Party.</w:t>
      </w:r>
    </w:p>
    <w:p>
      <w:pPr>
        <w:pStyle w:val="OmniPage5"/>
        <w:bidi w:val="0"/>
        <w:ind w:firstLine="710" w:start="50" w:end="100"/>
        <w:jc w:val="both"/>
        <w:rPr>
          <w:rFonts w:ascii="Times New Roman" w:hAnsi="Times New Roman"/>
          <w:sz w:val="22"/>
          <w:u w:val="single"/>
        </w:rPr>
      </w:pPr>
      <w:r>
        <w:rPr>
          <w:rFonts w:ascii="Times New Roman" w:hAnsi="Times New Roman"/>
          <w:sz w:val="22"/>
          <w:u w:val="single"/>
        </w:rPr>
      </w:r>
    </w:p>
    <w:p>
      <w:pPr>
        <w:pStyle w:val="OmniPage5"/>
        <w:bidi w:val="0"/>
        <w:ind w:firstLine="710" w:start="50" w:end="100"/>
        <w:jc w:val="both"/>
        <w:rPr>
          <w:rFonts w:ascii="Times New Roman" w:hAnsi="Times New Roman"/>
          <w:sz w:val="22"/>
        </w:rPr>
      </w:pPr>
      <w:r>
        <w:rPr>
          <w:rFonts w:ascii="Times New Roman" w:hAnsi="Times New Roman"/>
          <w:sz w:val="22"/>
        </w:rPr>
        <w:t>"</w:t>
      </w:r>
      <w:r>
        <w:rPr>
          <w:rFonts w:ascii="Times New Roman" w:hAnsi="Times New Roman"/>
          <w:sz w:val="22"/>
          <w:u w:val="single"/>
        </w:rPr>
        <w:t>Obligation</w:t>
      </w:r>
      <w:r>
        <w:rPr>
          <w:rFonts w:ascii="Times New Roman" w:hAnsi="Times New Roman"/>
          <w:sz w:val="22"/>
        </w:rPr>
        <w:t>" or "</w:t>
      </w:r>
      <w:r>
        <w:rPr>
          <w:rFonts w:ascii="Times New Roman" w:hAnsi="Times New Roman"/>
          <w:sz w:val="22"/>
          <w:u w:val="single"/>
        </w:rPr>
        <w:t>Obligations</w:t>
      </w:r>
      <w:r>
        <w:rPr>
          <w:rFonts w:ascii="Times New Roman" w:hAnsi="Times New Roman"/>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Affiliate has provided to any Enron Party or that any Enron Party Affiliate has provided to any Counterparty Party, orin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bidi w:val="0"/>
        <w:ind w:firstLine="710" w:start="50" w:end="10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Party</w:t>
      </w:r>
      <w:r>
        <w:rPr>
          <w:rFonts w:ascii="Times New Roman" w:hAnsi="Times New Roman"/>
          <w:sz w:val="22"/>
        </w:rPr>
        <w:t>" means the Enron Parties or the Counterparty Parties, as the context indicates, and "</w:t>
      </w:r>
      <w:r>
        <w:rPr>
          <w:rFonts w:ascii="Times New Roman" w:hAnsi="Times New Roman"/>
          <w:sz w:val="22"/>
          <w:u w:val="single"/>
        </w:rPr>
        <w:t>Parties</w:t>
      </w:r>
      <w:r>
        <w:rPr>
          <w:rFonts w:ascii="Times New Roman" w:hAnsi="Times New Roman"/>
          <w:sz w:val="22"/>
        </w:rPr>
        <w:t xml:space="preserve">" means all of the foregoing. </w:t>
      </w:r>
    </w:p>
    <w:p>
      <w:pPr>
        <w:pStyle w:val="OmniPage5"/>
        <w:bidi w:val="0"/>
        <w:ind w:firstLine="72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trike/>
          <w:sz w:val="22"/>
        </w:rPr>
        <w:t>{“Paying Parties”}</w:t>
      </w:r>
      <w:r>
        <w:rPr>
          <w:rFonts w:ascii="Times New Roman" w:hAnsi="Times New Roman"/>
          <w:b/>
          <w:sz w:val="22"/>
        </w:rPr>
        <w:t>["</w:t>
      </w:r>
      <w:r>
        <w:rPr>
          <w:rFonts w:ascii="Times New Roman" w:hAnsi="Times New Roman"/>
          <w:b/>
          <w:sz w:val="22"/>
          <w:u w:val="single"/>
        </w:rPr>
        <w:t>Paying Parties</w:t>
      </w:r>
      <w:r>
        <w:rPr>
          <w:rFonts w:ascii="Times New Roman" w:hAnsi="Times New Roman"/>
          <w:b/>
          <w:sz w:val="22"/>
        </w:rPr>
        <w:t>"]</w:t>
      </w:r>
      <w:r>
        <w:rPr>
          <w:rFonts w:ascii="Times New Roman" w:hAnsi="Times New Roman"/>
          <w:sz w:val="22"/>
        </w:rPr>
        <w:t xml:space="preserve"> means either the Enron Parties or the Counterparty Parties, as applicable, paying the </w:t>
      </w:r>
      <w:r>
        <w:rPr>
          <w:rFonts w:ascii="Times New Roman" w:hAnsi="Times New Roman"/>
          <w:strike/>
          <w:sz w:val="22"/>
        </w:rPr>
        <w:t>{“Final}</w:t>
      </w:r>
      <w:r>
        <w:rPr>
          <w:rFonts w:ascii="Times New Roman" w:hAnsi="Times New Roman"/>
          <w:b/>
          <w:sz w:val="22"/>
        </w:rPr>
        <w:t>["Final]</w:t>
      </w:r>
      <w:r>
        <w:rPr>
          <w:rFonts w:ascii="Times New Roman" w:hAnsi="Times New Roman"/>
          <w:sz w:val="22"/>
        </w:rPr>
        <w:t xml:space="preserve"> Settlement </w:t>
      </w:r>
      <w:r>
        <w:rPr>
          <w:rFonts w:ascii="Times New Roman" w:hAnsi="Times New Roman"/>
          <w:strike/>
          <w:sz w:val="22"/>
        </w:rPr>
        <w:t>{Amount”}</w:t>
      </w:r>
      <w:r>
        <w:rPr>
          <w:rFonts w:ascii="Times New Roman" w:hAnsi="Times New Roman"/>
          <w:sz w:val="22"/>
        </w:rPr>
        <w:t xml:space="preserve"> </w:t>
      </w:r>
      <w:r>
        <w:rPr>
          <w:rFonts w:ascii="Times New Roman" w:hAnsi="Times New Roman"/>
          <w:b/>
          <w:sz w:val="22"/>
        </w:rPr>
        <w:t>[Amount"]</w:t>
      </w:r>
      <w:r>
        <w:rPr>
          <w:rFonts w:ascii="Times New Roman" w:hAnsi="Times New Roman"/>
          <w:sz w:val="22"/>
        </w:rPr>
        <w:t xml:space="preserve"> under Section 4 of this Agreement.</w:t>
      </w:r>
    </w:p>
    <w:p>
      <w:pPr>
        <w:pStyle w:val="OmniPage5"/>
        <w:bidi w:val="0"/>
        <w:ind w:firstLine="720"/>
        <w:jc w:val="both"/>
        <w:rPr>
          <w:rFonts w:ascii="Times New Roman" w:hAnsi="Times New Roman"/>
          <w:sz w:val="22"/>
        </w:rPr>
      </w:pPr>
      <w:r>
        <w:rPr>
          <w:rFonts w:ascii="Times New Roman" w:hAnsi="Times New Roman"/>
          <w:sz w:val="22"/>
        </w:rPr>
      </w:r>
    </w:p>
    <w:p>
      <w:pPr>
        <w:pStyle w:val="OmniPage5"/>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Settlement Amount</w:t>
      </w:r>
      <w:r>
        <w:rPr>
          <w:rFonts w:ascii="Times New Roman" w:hAnsi="Times New Roman"/>
          <w:sz w:val="22"/>
        </w:rPr>
        <w:t>" means the net amount that is due and payable by one Party to the other Party in respect of an Underlying Master Agreement upon the exercise by Non-defaulting Party of the rights set forth in Section 2(b).</w:t>
      </w:r>
    </w:p>
    <w:p>
      <w:pPr>
        <w:pStyle w:val="OmniPage5"/>
        <w:bidi w:val="0"/>
        <w:ind w:firstLine="720"/>
        <w:jc w:val="both"/>
        <w:rPr>
          <w:rFonts w:ascii="Times New Roman" w:hAnsi="Times New Roman"/>
          <w:sz w:val="22"/>
        </w:rPr>
      </w:pPr>
      <w:r>
        <w:rPr>
          <w:rFonts w:ascii="Times New Roman" w:hAnsi="Times New Roman"/>
          <w:sz w:val="22"/>
        </w:rPr>
      </w:r>
    </w:p>
    <w:p>
      <w:pPr>
        <w:pStyle w:val="OmniPage5"/>
        <w:bidi w:val="0"/>
        <w:ind w:firstLine="710" w:start="50" w:end="137"/>
        <w:jc w:val="both"/>
        <w:rPr>
          <w:rFonts w:ascii="Times New Roman" w:hAnsi="Times New Roman"/>
          <w:sz w:val="22"/>
        </w:rPr>
      </w:pPr>
      <w:r>
        <w:rPr>
          <w:rFonts w:ascii="Times New Roman" w:hAnsi="Times New Roman"/>
          <w:sz w:val="22"/>
        </w:rPr>
        <w:t>"</w:t>
      </w:r>
      <w:r>
        <w:rPr>
          <w:rFonts w:ascii="Times New Roman" w:hAnsi="Times New Roman"/>
          <w:sz w:val="22"/>
          <w:u w:val="single"/>
        </w:rPr>
        <w:t>Transaction</w:t>
      </w:r>
      <w:r>
        <w:rPr>
          <w:rFonts w:ascii="Times New Roman" w:hAnsi="Times New Roman"/>
          <w:sz w:val="22"/>
        </w:rPr>
        <w:t>" or "</w:t>
      </w:r>
      <w:r>
        <w:rPr>
          <w:rFonts w:ascii="Times New Roman" w:hAnsi="Times New Roman"/>
          <w:sz w:val="22"/>
          <w:u w:val="single"/>
        </w:rPr>
        <w:t>Transactions</w:t>
      </w:r>
      <w:r>
        <w:rPr>
          <w:rFonts w:ascii="Times New Roman" w:hAnsi="Times New Roman"/>
          <w:sz w:val="22"/>
        </w:rPr>
        <w:t>" means each and every trade, transaction, or other open contractual commitment, between any Enron Party and any Counterparty Party arising under any of the Underlying Master Agreements.</w:t>
      </w:r>
    </w:p>
    <w:p>
      <w:pPr>
        <w:pStyle w:val="OmniPage5"/>
        <w:bidi w:val="0"/>
        <w:ind w:firstLine="710" w:start="50" w:end="137"/>
        <w:jc w:val="both"/>
        <w:rPr>
          <w:rFonts w:ascii="Times New Roman" w:hAnsi="Times New Roman"/>
          <w:sz w:val="22"/>
        </w:rPr>
      </w:pPr>
      <w:r>
        <w:rPr>
          <w:rFonts w:ascii="Times New Roman" w:hAnsi="Times New Roman"/>
          <w:sz w:val="22"/>
        </w:rPr>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tab/>
        <w:t>"</w:t>
      </w:r>
      <w:r>
        <w:rPr>
          <w:rFonts w:ascii="Times New Roman" w:hAnsi="Times New Roman"/>
          <w:sz w:val="22"/>
          <w:u w:val="single"/>
        </w:rPr>
        <w:t>Underlying Master Agreements Close-Out</w:t>
      </w:r>
      <w:r>
        <w:rPr>
          <w:rFonts w:ascii="Times New Roman" w:hAnsi="Times New Roman"/>
          <w:sz w:val="22"/>
        </w:rPr>
        <w:t>" has the meaning set forth in Section 2.</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w:t>
      </w:r>
      <w:r>
        <w:rPr>
          <w:rFonts w:ascii="Times New Roman" w:hAnsi="Times New Roman"/>
          <w:sz w:val="22"/>
          <w:u w:val="single"/>
        </w:rPr>
        <w:t>United States Bankruptcy Code</w:t>
      </w:r>
      <w:r>
        <w:rPr>
          <w:rFonts w:ascii="Times New Roman" w:hAnsi="Times New Roman"/>
          <w:sz w:val="22"/>
        </w:rPr>
        <w:t xml:space="preserve">" means title 11 of the United States Bankruptcy Code, Sections 101, </w:t>
      </w:r>
      <w:r>
        <w:rPr>
          <w:rFonts w:ascii="Times New Roman" w:hAnsi="Times New Roman"/>
          <w:i/>
          <w:sz w:val="22"/>
        </w:rPr>
        <w:t>et seq</w:t>
      </w:r>
      <w:r>
        <w:rPr>
          <w:rFonts w:ascii="Times New Roman" w:hAnsi="Times New Roman"/>
          <w:sz w:val="22"/>
        </w:rPr>
        <w:t>.</w:t>
      </w:r>
    </w:p>
    <w:p>
      <w:pPr>
        <w:pStyle w:val="OmniPage5"/>
        <w:bidi w:val="0"/>
        <w:ind w:firstLine="710" w:start="50" w:end="137"/>
        <w:jc w:val="both"/>
        <w:rPr>
          <w:rFonts w:ascii="Times New Roman" w:hAnsi="Times New Roman"/>
          <w:sz w:val="22"/>
        </w:rPr>
      </w:pPr>
      <w:r>
        <w:rPr>
          <w:rFonts w:ascii="Times New Roman" w:hAnsi="Times New Roman"/>
          <w:sz w:val="22"/>
        </w:rPr>
      </w:r>
    </w:p>
    <w:p>
      <w:pPr>
        <w:pStyle w:val="OmniPage5"/>
        <w:bidi w:val="0"/>
        <w:ind w:firstLine="670" w:start="50" w:end="127"/>
        <w:jc w:val="both"/>
        <w:rPr>
          <w:rFonts w:ascii="Times New Roman" w:hAnsi="Times New Roman"/>
          <w:sz w:val="22"/>
        </w:rPr>
      </w:pPr>
      <w:r>
        <w:rPr>
          <w:rFonts w:ascii="Times New Roman" w:hAnsi="Times New Roman"/>
          <w:b/>
          <w:sz w:val="22"/>
        </w:rPr>
        <w:t xml:space="preserve">2.    Default and Remedies.    </w:t>
      </w:r>
      <w:r>
        <w:rPr>
          <w:rFonts w:ascii="Times New Roman" w:hAnsi="Times New Roman"/>
          <w:sz w:val="22"/>
        </w:rPr>
        <w:t>(a) Each of the occurrence of (i) a default, event of default, or other event on the basis of which a Party has the contractual right to accelerate, terminate (including automatic early termination, if applicable),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constitutes a "</w:t>
      </w:r>
      <w:r>
        <w:rPr>
          <w:rFonts w:ascii="Times New Roman" w:hAnsi="Times New Roman"/>
          <w:sz w:val="22"/>
          <w:u w:val="single"/>
        </w:rPr>
        <w:t>Default</w:t>
      </w:r>
      <w:r>
        <w:rPr>
          <w:rFonts w:ascii="Times New Roman" w:hAnsi="Times New Roman"/>
          <w:sz w:val="22"/>
        </w:rPr>
        <w:t>" under this Agreement</w:t>
      </w:r>
      <w:r>
        <w:rPr>
          <w:rFonts w:ascii="Times New Roman" w:hAnsi="Times New Roman"/>
          <w:b/>
          <w:sz w:val="22"/>
        </w:rPr>
        <w:t>[; provided, no contractual right to terminate Transactions under an Underlying Master Agreement occasioned by an event of Force Majeure, a change in law or regulation, or on the basis of an illegality shall be considered a Default under this Agreement]</w:t>
      </w:r>
      <w:r>
        <w:rPr>
          <w:rFonts w:ascii="Times New Roman" w:hAnsi="Times New Roman"/>
          <w:sz w:val="22"/>
        </w:rPr>
        <w:t>.</w:t>
      </w:r>
    </w:p>
    <w:p>
      <w:pPr>
        <w:pStyle w:val="OmniPage5"/>
        <w:bidi w:val="0"/>
        <w:ind w:firstLine="670" w:start="50" w:end="127"/>
        <w:jc w:val="both"/>
        <w:rPr>
          <w:rFonts w:ascii="Times New Roman" w:hAnsi="Times New Roman"/>
          <w:sz w:val="22"/>
        </w:rPr>
      </w:pPr>
      <w:r>
        <w:rPr>
          <w:rFonts w:ascii="Times New Roman" w:hAnsi="Times New Roman"/>
          <w:sz w:val="22"/>
        </w:rPr>
        <w:t xml:space="preserve"> </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tab/>
        <w:t xml:space="preserve">(b)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w:t>
      </w:r>
      <w:r>
        <w:rPr>
          <w:rFonts w:ascii="Times New Roman" w:hAnsi="Times New Roman"/>
          <w:b/>
          <w:sz w:val="22"/>
        </w:rPr>
        <w:t>[exercise rights to apply collateral pursuant to all rights granted, and as specified in, its Underlying Master Agreements, and]</w:t>
      </w:r>
      <w:r>
        <w:rPr>
          <w:rFonts w:ascii="Times New Roman" w:hAnsi="Times New Roman"/>
          <w:sz w:val="22"/>
        </w:rPr>
        <w:t xml:space="preserve"> exercise rights of setoff, netting, and/or recoupment in accordance with the terms of its Underlying Master Agreements; (iii) with respect to each Defaulting Party, withhold payment and performance of each Non-defaulting Party's Obligations to each Defaulting Party to pay, secure, setoff against, net, and/or recoup such Defaulting Party's Obligations to such Non-defaulting Party; (iv) convert any Obligation from one currency into another currency as set forth in Section 5; and (v)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rFonts w:ascii="Times New Roman" w:hAnsi="Times New Roman"/>
          <w:sz w:val="22"/>
          <w:u w:val="single"/>
        </w:rPr>
        <w:t>Underlying Master Agreements Close-Out</w:t>
      </w:r>
      <w:r>
        <w:rPr>
          <w:rFonts w:ascii="Times New Roman" w:hAnsi="Times New Roman"/>
          <w:sz w:val="22"/>
        </w:rPr>
        <w:t>."</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r>
    </w:p>
    <w:p>
      <w:pPr>
        <w:pStyle w:val="Normal"/>
        <w:bidi w:val="0"/>
        <w:ind w:firstLine="720"/>
        <w:jc w:val="both"/>
        <w:rPr>
          <w:rFonts w:ascii="Times New Roman" w:hAnsi="Times New Roman"/>
          <w:sz w:val="22"/>
        </w:rPr>
      </w:pPr>
      <w:r>
        <w:rPr>
          <w:rFonts w:ascii="Times New Roman" w:hAnsi="Times New Roman"/>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sz w:val="22"/>
        </w:rPr>
        <w:tab/>
      </w:r>
      <w:r>
        <w:rPr>
          <w:rFonts w:ascii="Times New Roman" w:hAnsi="Times New Roman"/>
          <w:b/>
          <w:sz w:val="22"/>
        </w:rPr>
        <w:t xml:space="preserve">3.    Obligations and Setoff.    </w:t>
      </w:r>
      <w:r>
        <w:rPr>
          <w:rFonts w:ascii="Times New Roman" w:hAnsi="Times New Roman"/>
          <w:sz w:val="22"/>
        </w:rPr>
        <w:t>Upon Non-defaulting Group's exercise of the Underlying Master Agreements Close-Out and the determination of the Settlement Amount under each Underlying Master Agreement, Non-defaulting Group may, without further notice, setoff (including by set-off,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rFonts w:ascii="Times New Roman" w:hAnsi="Times New Roman"/>
          <w:sz w:val="22"/>
          <w:u w:val="single"/>
        </w:rPr>
        <w:t>Owed</w:t>
      </w:r>
      <w:r>
        <w:rPr>
          <w:rFonts w:ascii="Times New Roman" w:hAnsi="Times New Roman"/>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bidi w:val="0"/>
        <w:ind w:hanging="0" w:start="52"/>
        <w:jc w:val="both"/>
        <w:rPr>
          <w:rFonts w:ascii="Times New Roman" w:hAnsi="Times New Roman"/>
          <w:sz w:val="22"/>
        </w:rPr>
      </w:pPr>
      <w:r>
        <w:rPr>
          <w:rFonts w:ascii="Times New Roman" w:hAnsi="Times New Roman"/>
          <w:b/>
          <w:sz w:val="22"/>
        </w:rPr>
        <w:tab/>
      </w:r>
    </w:p>
    <w:p>
      <w:pPr>
        <w:pStyle w:val="OmniPage5"/>
        <w:tabs>
          <w:tab w:val="left" w:pos="720" w:leader="none"/>
          <w:tab w:val="right" w:pos="9389" w:leader="none"/>
        </w:tabs>
        <w:bidi w:val="0"/>
        <w:jc w:val="both"/>
        <w:rPr>
          <w:rFonts w:ascii="Times New Roman" w:hAnsi="Times New Roman"/>
          <w:sz w:val="22"/>
        </w:rPr>
      </w:pPr>
      <w:r>
        <w:rPr>
          <w:rFonts w:ascii="Times New Roman" w:hAnsi="Times New Roman"/>
          <w:b/>
          <w:sz w:val="22"/>
        </w:rPr>
        <w:tab/>
        <w:t xml:space="preserve">4.    Settlement.    </w:t>
      </w:r>
      <w:r>
        <w:rPr>
          <w:rFonts w:ascii="Times New Roman" w:hAnsi="Times New Roman"/>
          <w:sz w:val="22"/>
        </w:rPr>
        <w:t>Upon Non-defaulting Group's exercise of the Underlying Master Agreements Close-Out, the Settlement Amounts under the Underlying Master Agreements shall be netted and reduced pursuant to all rights granted in this Agreement (as so netted and reduced, the "</w:t>
      </w:r>
      <w:r>
        <w:rPr>
          <w:rFonts w:ascii="Times New Roman" w:hAnsi="Times New Roman"/>
          <w:sz w:val="22"/>
          <w:u w:val="single"/>
        </w:rPr>
        <w:t>Final Settlement Amount</w:t>
      </w:r>
      <w:r>
        <w:rPr>
          <w:rFonts w:ascii="Times New Roman" w:hAnsi="Times New Roman"/>
          <w:sz w:val="22"/>
        </w:rPr>
        <w:t xml:space="preserve">").    Upon determination of the Final Settlement Amount, Non-defaulting Group shall provide Defaulting Group with a statement showing the calculation of the Final Settlement Amount.    The Final Settlement Amount shall be payable jointly and severally either by the Enron Parties or by the Counterparty Parties, respectively, from whom such payment is due (the </w:t>
      </w:r>
      <w:r>
        <w:rPr>
          <w:rFonts w:ascii="Times New Roman" w:hAnsi="Times New Roman"/>
          <w:strike/>
          <w:sz w:val="22"/>
        </w:rPr>
        <w:t>{“Paying Parties”)}</w:t>
      </w:r>
      <w:r>
        <w:rPr>
          <w:rFonts w:ascii="Times New Roman" w:hAnsi="Times New Roman"/>
          <w:b/>
          <w:sz w:val="22"/>
        </w:rPr>
        <w:t>["Paying Parties")]</w:t>
      </w:r>
      <w:r>
        <w:rPr>
          <w:rFonts w:ascii="Times New Roman" w:hAnsi="Times New Roman"/>
          <w:sz w:val="22"/>
        </w:rPr>
        <w:t xml:space="preserve"> on the third Business Day after the statement is provided.    In the event of a dispute as to the Final Settlement Amount payable by the Paying Parties , such Paying Parties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w:t>
      </w:r>
    </w:p>
    <w:p>
      <w:pPr>
        <w:pStyle w:val="OmniPage5"/>
        <w:bidi w:val="0"/>
        <w:ind w:firstLine="667" w:start="53" w:end="139"/>
        <w:jc w:val="both"/>
        <w:rPr>
          <w:rFonts w:ascii="Times New Roman" w:hAnsi="Times New Roman"/>
          <w:sz w:val="22"/>
        </w:rPr>
      </w:pPr>
      <w:r>
        <w:rPr>
          <w:rFonts w:ascii="Times New Roman" w:hAnsi="Times New Roman"/>
          <w:sz w:val="22"/>
        </w:rPr>
      </w:r>
    </w:p>
    <w:p>
      <w:pPr>
        <w:pStyle w:val="OmniPage5"/>
        <w:bidi w:val="0"/>
        <w:ind w:firstLine="667" w:start="53" w:end="139"/>
        <w:jc w:val="both"/>
        <w:rPr>
          <w:rFonts w:ascii="Times New Roman" w:hAnsi="Times New Roman"/>
          <w:sz w:val="22"/>
        </w:rPr>
      </w:pPr>
      <w:r>
        <w:rPr>
          <w:rFonts w:ascii="Times New Roman" w:hAnsi="Times New Roman"/>
          <w:b/>
          <w:sz w:val="22"/>
        </w:rPr>
        <w:t xml:space="preserve">5.    Currency.    </w:t>
      </w:r>
      <w:r>
        <w:rPr>
          <w:rFonts w:ascii="Times New Roman" w:hAnsi="Times New Roman"/>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bidi w:val="0"/>
        <w:ind w:firstLine="710" w:start="53" w:end="139"/>
        <w:jc w:val="both"/>
        <w:rPr>
          <w:rFonts w:ascii="Times New Roman" w:hAnsi="Times New Roman"/>
          <w:sz w:val="22"/>
        </w:rPr>
      </w:pPr>
      <w:r>
        <w:rPr>
          <w:rFonts w:ascii="Times New Roman" w:hAnsi="Times New Roman"/>
          <w:sz w:val="22"/>
        </w:rPr>
      </w:r>
    </w:p>
    <w:p>
      <w:pPr>
        <w:pStyle w:val="OmniPage5"/>
        <w:bidi w:val="0"/>
        <w:ind w:firstLine="698" w:start="80" w:end="136"/>
        <w:jc w:val="both"/>
        <w:rPr>
          <w:rFonts w:ascii="Times New Roman" w:hAnsi="Times New Roman"/>
          <w:sz w:val="22"/>
        </w:rPr>
      </w:pPr>
      <w:r>
        <w:rPr>
          <w:rFonts w:ascii="Times New Roman" w:hAnsi="Times New Roman"/>
          <w:b/>
          <w:sz w:val="22"/>
        </w:rPr>
        <w:t xml:space="preserve">6.    Representations and Warranties.    </w:t>
      </w:r>
      <w:r>
        <w:rPr>
          <w:rFonts w:ascii="Times New Roman" w:hAnsi="Times New Roman"/>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bidi w:val="0"/>
        <w:jc w:val="both"/>
        <w:rPr>
          <w:rFonts w:ascii="Times New Roman" w:hAnsi="Times New Roman"/>
          <w:sz w:val="22"/>
        </w:rPr>
      </w:pPr>
      <w:r>
        <w:rPr>
          <w:rFonts w:ascii="Times New Roman" w:hAnsi="Times New Roman"/>
          <w:sz w:val="22"/>
        </w:rPr>
      </w:r>
    </w:p>
    <w:p>
      <w:pPr>
        <w:pStyle w:val="Normal"/>
        <w:bidi w:val="0"/>
        <w:ind w:firstLine="900"/>
        <w:jc w:val="both"/>
        <w:rPr>
          <w:rFonts w:ascii="Times New Roman" w:hAnsi="Times New Roman"/>
          <w:sz w:val="22"/>
        </w:rPr>
      </w:pPr>
      <w:r>
        <w:rPr>
          <w:rFonts w:ascii="Times New Roman" w:hAnsi="Times New Roman"/>
          <w:b/>
          <w:sz w:val="22"/>
        </w:rPr>
        <w:t xml:space="preserve">7.    Interpretation and Headings.    </w:t>
      </w:r>
      <w:r>
        <w:rPr>
          <w:rFonts w:ascii="Times New Roman" w:hAnsi="Times New Roman"/>
          <w:sz w:val="22"/>
        </w:rPr>
        <w:t xml:space="preserve">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rFonts w:ascii="Times New Roman" w:hAnsi="Times New Roman"/>
          <w:i/>
          <w:sz w:val="22"/>
        </w:rPr>
        <w:t>Companies' Creditors Arrangement Act</w:t>
      </w:r>
      <w:r>
        <w:rPr>
          <w:rFonts w:ascii="Times New Roman" w:hAnsi="Times New Roman"/>
          <w:sz w:val="22"/>
        </w:rPr>
        <w:t xml:space="preserve">, R.S.C. 1985, c.C-36 or the </w:t>
      </w:r>
      <w:r>
        <w:rPr>
          <w:rFonts w:ascii="Times New Roman" w:hAnsi="Times New Roman"/>
          <w:i/>
          <w:sz w:val="22"/>
        </w:rPr>
        <w:t>Winding-Up Act</w:t>
      </w:r>
      <w:r>
        <w:rPr>
          <w:rFonts w:ascii="Times New Roman" w:hAnsi="Times New Roman"/>
          <w:sz w:val="22"/>
        </w:rPr>
        <w:t>, R.S.C. 1985, c.W-11, as the same may be amended, restated, replaced, or re-enacted from time to time.</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2" w:start="116" w:end="102"/>
        <w:jc w:val="both"/>
        <w:rPr>
          <w:rFonts w:ascii="Times New Roman" w:hAnsi="Times New Roman"/>
          <w:sz w:val="22"/>
        </w:rPr>
      </w:pPr>
      <w:r>
        <w:rPr>
          <w:rFonts w:ascii="Times New Roman" w:hAnsi="Times New Roman"/>
          <w:b/>
          <w:sz w:val="22"/>
        </w:rPr>
        <w:t xml:space="preserve">8.    Governing Law.    </w:t>
      </w:r>
      <w:r>
        <w:rPr>
          <w:rFonts w:ascii="Times New Roman" w:hAnsi="Times New Roman"/>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2" w:start="87" w:end="141"/>
        <w:jc w:val="both"/>
        <w:rPr>
          <w:rFonts w:ascii="Times New Roman" w:hAnsi="Times New Roman"/>
          <w:sz w:val="22"/>
        </w:rPr>
      </w:pPr>
      <w:r>
        <w:rPr>
          <w:rFonts w:ascii="Times New Roman" w:hAnsi="Times New Roman"/>
          <w:b/>
          <w:sz w:val="22"/>
        </w:rPr>
        <w:t xml:space="preserve">9.    Waiver and Process.    </w:t>
      </w:r>
      <w:r>
        <w:rPr>
          <w:rFonts w:ascii="Times New Roman" w:hAnsi="Times New Roman"/>
          <w:sz w:val="22"/>
        </w:rPr>
        <w:t>Any provisions in the Underlying Master Agreements regarding waiver of immunity and process shall apply to this Agreement in the same manner and to the same extent as if such references were contained in this Agreement.    THE PARTIES EACH HEREBY AGREE TO WAIVE THEIR RESPECTIVE RIGHTS TO JURY TRIAL OF ANY DISPUTE BASED UPON OR ARISING OUT OF THIS AGREEMENT OR ANY OTHER AGREEMENTS RELATING HERETO OR ANY DEALINGS AMONG THEM RELATING TO THE TRANSACTIONS.</w:t>
      </w:r>
    </w:p>
    <w:p>
      <w:pPr>
        <w:pStyle w:val="Normal"/>
        <w:bidi w:val="0"/>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b/>
          <w:sz w:val="22"/>
        </w:rPr>
        <w:t>10.</w:t>
      </w:r>
      <w:r>
        <w:rPr>
          <w:rFonts w:ascii="Times New Roman" w:hAnsi="Times New Roman"/>
          <w:sz w:val="22"/>
        </w:rPr>
        <w:t xml:space="preserve">    </w:t>
      </w:r>
      <w:r>
        <w:rPr>
          <w:rFonts w:ascii="Times New Roman" w:hAnsi="Times New Roman"/>
          <w:b/>
          <w:sz w:val="22"/>
        </w:rPr>
        <w:t xml:space="preserve">Assignment and Amendment.    </w:t>
      </w:r>
      <w:r>
        <w:rPr>
          <w:rFonts w:ascii="Times New Roman" w:hAnsi="Times New Roman"/>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(d)    Any purported assignment or other transfer that is not in compliance herewith shall be void.</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88" w:end="136"/>
        <w:jc w:val="both"/>
        <w:rPr>
          <w:rFonts w:ascii="Times New Roman" w:hAnsi="Times New Roman"/>
          <w:sz w:val="22"/>
        </w:rPr>
      </w:pPr>
      <w:r>
        <w:rPr>
          <w:rFonts w:ascii="Times New Roman" w:hAnsi="Times New Roman"/>
          <w:sz w:val="22"/>
        </w:rPr>
        <w:t>(e)    This Agreement may not be amended except by an amendment to this Agreement signed by each Party.    Confirmations of Transactions under any Underlying Master Agreement shall not serve as an amendment.</w:t>
      </w:r>
    </w:p>
    <w:p>
      <w:pPr>
        <w:pStyle w:val="OmniPage5"/>
        <w:bidi w:val="0"/>
        <w:ind w:firstLine="722" w:start="88" w:end="136"/>
        <w:jc w:val="both"/>
        <w:rPr>
          <w:rFonts w:ascii="Times New Roman" w:hAnsi="Times New Roman"/>
          <w:sz w:val="22"/>
        </w:rPr>
      </w:pPr>
      <w:r>
        <w:rPr>
          <w:rFonts w:ascii="Times New Roman" w:hAnsi="Times New Roman"/>
          <w:sz w:val="22"/>
        </w:rPr>
      </w:r>
    </w:p>
    <w:p>
      <w:pPr>
        <w:pStyle w:val="OmniPage5"/>
        <w:bidi w:val="0"/>
        <w:ind w:firstLine="722" w:start="100" w:end="138"/>
        <w:jc w:val="both"/>
        <w:rPr>
          <w:rFonts w:ascii="Times New Roman" w:hAnsi="Times New Roman"/>
          <w:sz w:val="22"/>
        </w:rPr>
      </w:pPr>
      <w:r>
        <w:rPr>
          <w:rFonts w:ascii="Times New Roman" w:hAnsi="Times New Roman"/>
          <w:b/>
          <w:sz w:val="22"/>
        </w:rPr>
        <w:t>11.</w:t>
      </w:r>
      <w:r>
        <w:rPr>
          <w:rFonts w:ascii="Times New Roman" w:hAnsi="Times New Roman"/>
          <w:sz w:val="22"/>
        </w:rPr>
        <w:t xml:space="preserve">    </w:t>
      </w:r>
      <w:r>
        <w:rPr>
          <w:rFonts w:ascii="Times New Roman" w:hAnsi="Times New Roman"/>
          <w:b/>
          <w:sz w:val="22"/>
        </w:rPr>
        <w:t xml:space="preserve">Notices.    </w:t>
      </w:r>
      <w:r>
        <w:rPr>
          <w:rFonts w:ascii="Times New Roman" w:hAnsi="Times New Roman"/>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w:t>
      </w:r>
    </w:p>
    <w:p>
      <w:pPr>
        <w:pStyle w:val="Normal"/>
        <w:keepNext w:val="true"/>
        <w:bidi w:val="0"/>
        <w:spacing w:lineRule="exact" w:line="240" w:before="240" w:after="0"/>
        <w:ind w:hanging="720" w:start="720"/>
        <w:jc w:val="both"/>
        <w:rPr>
          <w:rFonts w:ascii="Times New Roman" w:hAnsi="Times New Roman"/>
          <w:sz w:val="22"/>
        </w:rPr>
      </w:pPr>
      <w:r>
        <w:rPr>
          <w:rFonts w:ascii="Times New Roman" w:hAnsi="Times New Roman"/>
          <w:sz w:val="22"/>
        </w:rPr>
        <w:t>Address for notices or communications to Enron Group:</w:t>
      </w:r>
    </w:p>
    <w:p>
      <w:pPr>
        <w:pStyle w:val="Normal"/>
        <w:keepNext w:val="true"/>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088"/>
        <w:gridCol w:w="4139"/>
        <w:gridCol w:w="3331"/>
      </w:tblGrid>
      <w:tr>
        <w:trPr>
          <w:cantSplit w:val="true"/>
        </w:trPr>
        <w:tc>
          <w:tcPr>
            <w:tcW w:w="208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139" w:type="dxa"/>
            <w:tcBorders/>
          </w:tcPr>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Enron North America Corp.</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P.O. Box 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77210-4428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1400 Smith Street</w:t>
            </w:r>
          </w:p>
          <w:p>
            <w:pPr>
              <w:pStyle w:val="Normal"/>
              <w:keepNext w:val="true"/>
              <w:tabs>
                <w:tab w:val="clear" w:pos="720"/>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Houston, Texas 77002</w:t>
            </w:r>
          </w:p>
          <w:p>
            <w:pPr>
              <w:pStyle w:val="Justified"/>
              <w:keepNext w:val="true"/>
              <w:tabs>
                <w:tab w:val="clear" w:pos="720"/>
                <w:tab w:val="left" w:pos="4230" w:leader="none"/>
                <w:tab w:val="left" w:pos="9360" w:leader="none"/>
              </w:tabs>
              <w:bidi w:val="0"/>
              <w:spacing w:lineRule="exact" w:line="240" w:before="0" w:after="0"/>
              <w:rPr/>
            </w:pPr>
            <w:r>
              <w:rPr>
                <w:rFonts w:ascii="Times New Roman" w:hAnsi="Times New Roman"/>
              </w:rPr>
              <w:t>Attn:    Director, Documentation Department</w:t>
            </w:r>
          </w:p>
        </w:tc>
        <w:tc>
          <w:tcPr>
            <w:tcW w:w="3331" w:type="dxa"/>
            <w:tcBorders/>
          </w:tcPr>
          <w:p>
            <w:pPr>
              <w:pStyle w:val="Normal"/>
              <w:keepNext w:val="true"/>
              <w:tabs>
                <w:tab w:val="clear" w:pos="720"/>
                <w:tab w:val="left" w:pos="4230" w:leader="none"/>
                <w:tab w:val="left" w:pos="9360" w:leader="none"/>
              </w:tabs>
              <w:bidi w:val="0"/>
              <w:spacing w:lineRule="exact" w:line="240"/>
              <w:ind w:hanging="0" w:start="72"/>
              <w:jc w:val="both"/>
              <w:rPr>
                <w:rFonts w:ascii="Times New Roman" w:hAnsi="Times New Roman"/>
                <w:sz w:val="22"/>
                <w:u w:val="single"/>
              </w:rPr>
            </w:pPr>
            <w:r>
              <w:rPr>
                <w:rFonts w:ascii="Times New Roman" w:hAnsi="Times New Roman"/>
                <w:sz w:val="22"/>
              </w:rPr>
              <w:t>Facsimile No.:    (713) 646-4816</w:t>
            </w:r>
          </w:p>
          <w:p>
            <w:pPr>
              <w:pStyle w:val="Normal"/>
              <w:keepNext w:val="true"/>
              <w:tabs>
                <w:tab w:val="clear" w:pos="720"/>
                <w:tab w:val="left" w:pos="4230" w:leader="none"/>
                <w:tab w:val="left" w:pos="9360" w:leader="none"/>
              </w:tabs>
              <w:bidi w:val="0"/>
              <w:spacing w:lineRule="exact" w:line="240"/>
              <w:ind w:hanging="0" w:start="72"/>
              <w:jc w:val="both"/>
              <w:rPr/>
            </w:pPr>
            <w:r>
              <w:rPr>
                <w:rFonts w:ascii="Times New Roman" w:hAnsi="Times New Roman"/>
                <w:sz w:val="22"/>
              </w:rPr>
              <w:t>Telephone No.:    (713) 853-3300</w:t>
            </w:r>
          </w:p>
        </w:tc>
      </w:tr>
    </w:tbl>
    <w:p>
      <w:pPr>
        <w:pStyle w:val="Normal"/>
        <w:tabs>
          <w:tab w:val="clear" w:pos="720"/>
          <w:tab w:val="right" w:pos="9360" w:leader="dot"/>
        </w:tabs>
        <w:bidi w:val="0"/>
        <w:spacing w:lineRule="exact" w:line="240" w:before="240" w:after="0"/>
        <w:jc w:val="both"/>
        <w:rPr>
          <w:rFonts w:ascii="Times New Roman" w:hAnsi="Times New Roman"/>
          <w:sz w:val="22"/>
        </w:rPr>
      </w:pPr>
      <w:r>
        <w:rPr>
          <w:rFonts w:ascii="Times New Roman" w:hAnsi="Times New Roman"/>
          <w:sz w:val="22"/>
        </w:rPr>
        <w:t>A copy of any notice sent to Enron Group pursuant to Section 2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bidi w:val="0"/>
        <w:spacing w:lineRule="exact" w:line="240"/>
        <w:jc w:val="both"/>
        <w:rPr>
          <w:rFonts w:ascii="Times New Roman" w:hAnsi="Times New Roman"/>
          <w:sz w:val="22"/>
        </w:rPr>
      </w:pPr>
      <w:r>
        <w:rPr>
          <w:rFonts w:ascii="Times New Roman" w:hAnsi="Times New Roman"/>
          <w:sz w:val="22"/>
        </w:rPr>
      </w:r>
    </w:p>
    <w:p>
      <w:pPr>
        <w:pStyle w:val="Normal"/>
        <w:keepNext w:val="true"/>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t>Address for notices or communications to Counterparty Group:</w:t>
      </w:r>
    </w:p>
    <w:p>
      <w:pPr>
        <w:pStyle w:val="Normal"/>
        <w:keepNext w:val="true"/>
        <w:tabs>
          <w:tab w:val="left" w:pos="720" w:leader="none"/>
          <w:tab w:val="right" w:pos="9360" w:leader="dot"/>
        </w:tabs>
        <w:bidi w:val="0"/>
        <w:spacing w:lineRule="exact" w:line="240"/>
        <w:ind w:hanging="720" w:start="720"/>
        <w:jc w:val="both"/>
        <w:rPr>
          <w:rFonts w:ascii="Times New Roman" w:hAnsi="Times New Roman"/>
          <w:sz w:val="22"/>
        </w:rPr>
      </w:pPr>
      <w:r>
        <w:rPr>
          <w:rFonts w:ascii="Times New Roman" w:hAnsi="Times New Roman"/>
          <w:sz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cantSplit w:val="true"/>
        </w:trPr>
        <w:tc>
          <w:tcPr>
            <w:tcW w:w="2178"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 xml:space="preserve">Address: </w:t>
            </w:r>
          </w:p>
          <w:p>
            <w:pPr>
              <w:pStyle w:val="Normal"/>
              <w:keepNext w:val="true"/>
              <w:tabs>
                <w:tab w:val="clear" w:pos="720"/>
                <w:tab w:val="left" w:pos="2880" w:leader="none"/>
                <w:tab w:val="left" w:pos="9360" w:leader="none"/>
              </w:tabs>
              <w:bidi w:val="0"/>
              <w:spacing w:lineRule="atLeast" w:line="240"/>
              <w:jc w:val="both"/>
              <w:rPr>
                <w:rFonts w:ascii="Times New Roman" w:hAnsi="Times New Roman"/>
                <w:sz w:val="22"/>
              </w:rPr>
            </w:pPr>
            <w:r>
              <w:rPr>
                <w:rFonts w:ascii="Times New Roman" w:hAnsi="Times New Roman"/>
                <w:sz w:val="22"/>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sz w:val="22"/>
              </w:rPr>
            </w:pPr>
            <w:r>
              <w:rPr>
                <w:rFonts w:ascii="Times New Roman" w:hAnsi="Times New Roman"/>
                <w:sz w:val="22"/>
              </w:rPr>
              <w:t>(for courier delivery)</w:t>
            </w:r>
            <w:r>
              <w:rPr>
                <w:rFonts w:ascii="Times New Roman" w:hAnsi="Times New Roman"/>
                <w:sz w:val="22"/>
                <w:u w:val="single"/>
              </w:rPr>
              <w:t xml:space="preserve"> </w:t>
            </w:r>
          </w:p>
          <w:p>
            <w:pPr>
              <w:pStyle w:val="Normal"/>
              <w:keepNext w:val="true"/>
              <w:tabs>
                <w:tab w:val="left" w:pos="720" w:leader="none"/>
                <w:tab w:val="right" w:pos="9360" w:leader="dot"/>
              </w:tabs>
              <w:bidi w:val="0"/>
              <w:spacing w:lineRule="exact" w:line="240"/>
              <w:jc w:val="both"/>
              <w:rPr>
                <w:rFonts w:ascii="Times New Roman" w:hAnsi="Times New Roman"/>
                <w:sz w:val="22"/>
              </w:rPr>
            </w:pPr>
            <w:r>
              <w:rPr>
                <w:rFonts w:ascii="Times New Roman" w:hAnsi="Times New Roman"/>
                <w:sz w:val="22"/>
              </w:rPr>
            </w:r>
          </w:p>
        </w:tc>
        <w:tc>
          <w:tcPr>
            <w:tcW w:w="4090" w:type="dxa"/>
            <w:tcBorders/>
          </w:tcPr>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 xml:space="preserve">Dynegy Marketing and Trade </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 xml:space="preserve">1000 Louisiana, Suite 5800 </w:t>
            </w:r>
          </w:p>
          <w:p>
            <w:pPr>
              <w:pStyle w:val="Normal"/>
              <w:keepNext w:val="true"/>
              <w:tabs>
                <w:tab w:val="clear" w:pos="720"/>
                <w:tab w:val="left" w:pos="3762" w:leader="none"/>
                <w:tab w:val="left" w:pos="4230" w:leader="none"/>
                <w:tab w:val="left" w:pos="9360" w:leader="none"/>
              </w:tabs>
              <w:bidi w:val="0"/>
              <w:spacing w:lineRule="exact" w:line="240"/>
              <w:jc w:val="both"/>
              <w:rPr>
                <w:rFonts w:ascii="Times New Roman" w:hAnsi="Times New Roman"/>
                <w:sz w:val="22"/>
              </w:rPr>
            </w:pPr>
            <w:r>
              <w:rPr>
                <w:rFonts w:ascii="Times New Roman" w:hAnsi="Times New Roman"/>
                <w:sz w:val="22"/>
              </w:rPr>
              <w:t xml:space="preserve">Houston, Texas 77002 </w:t>
            </w:r>
          </w:p>
          <w:p>
            <w:pPr>
              <w:pStyle w:val="Normal"/>
              <w:keepNext w:val="true"/>
              <w:tabs>
                <w:tab w:val="clear" w:pos="720"/>
                <w:tab w:val="left" w:pos="3762" w:leader="none"/>
                <w:tab w:val="left" w:pos="4230" w:leader="none"/>
                <w:tab w:val="left" w:pos="9360" w:leader="none"/>
              </w:tabs>
              <w:bidi w:val="0"/>
              <w:spacing w:lineRule="exact" w:line="240"/>
              <w:jc w:val="both"/>
              <w:rPr/>
            </w:pPr>
            <w:r>
              <w:rPr>
                <w:rFonts w:ascii="Times New Roman" w:hAnsi="Times New Roman"/>
                <w:sz w:val="22"/>
              </w:rPr>
              <w:t xml:space="preserve">Attn.:    Credit Manager </w:t>
            </w:r>
          </w:p>
        </w:tc>
        <w:tc>
          <w:tcPr>
            <w:tcW w:w="3290" w:type="dxa"/>
            <w:tcBorders/>
          </w:tcPr>
          <w:p>
            <w:pPr>
              <w:pStyle w:val="Normal"/>
              <w:keepNext w:val="true"/>
              <w:tabs>
                <w:tab w:val="clear" w:pos="720"/>
                <w:tab w:val="left" w:pos="2952" w:leader="none"/>
                <w:tab w:val="left" w:pos="4230" w:leader="none"/>
                <w:tab w:val="left" w:pos="9360" w:leader="none"/>
              </w:tabs>
              <w:bidi w:val="0"/>
              <w:spacing w:lineRule="exact" w:line="240"/>
              <w:ind w:hanging="0" w:start="72"/>
              <w:jc w:val="both"/>
              <w:rPr>
                <w:rFonts w:ascii="Times New Roman" w:hAnsi="Times New Roman"/>
                <w:sz w:val="22"/>
              </w:rPr>
            </w:pPr>
            <w:r>
              <w:rPr>
                <w:rFonts w:ascii="Times New Roman" w:hAnsi="Times New Roman"/>
                <w:sz w:val="22"/>
              </w:rPr>
              <w:t>Facsimile No.:    713-507-3786</w:t>
            </w:r>
          </w:p>
          <w:p>
            <w:pPr>
              <w:pStyle w:val="Normal"/>
              <w:keepNext w:val="true"/>
              <w:tabs>
                <w:tab w:val="clear" w:pos="720"/>
                <w:tab w:val="left" w:pos="2952" w:leader="none"/>
                <w:tab w:val="left" w:pos="4230" w:leader="none"/>
                <w:tab w:val="left" w:pos="9360" w:leader="none"/>
              </w:tabs>
              <w:bidi w:val="0"/>
              <w:spacing w:lineRule="exact" w:line="240"/>
              <w:ind w:hanging="0" w:start="72"/>
              <w:jc w:val="both"/>
              <w:rPr/>
            </w:pPr>
            <w:r>
              <w:rPr>
                <w:rFonts w:ascii="Times New Roman" w:hAnsi="Times New Roman"/>
                <w:sz w:val="22"/>
              </w:rPr>
              <w:t>Telephone No.:    713-507-6400</w:t>
            </w:r>
          </w:p>
        </w:tc>
      </w:tr>
    </w:tbl>
    <w:p>
      <w:pPr>
        <w:pStyle w:val="OmniPage5"/>
        <w:bidi w:val="0"/>
        <w:ind w:firstLine="722" w:start="100" w:end="138"/>
        <w:jc w:val="both"/>
        <w:rPr>
          <w:rFonts w:ascii="Times New Roman" w:hAnsi="Times New Roman"/>
          <w:sz w:val="22"/>
        </w:rPr>
      </w:pPr>
      <w:r>
        <w:rPr>
          <w:rFonts w:ascii="Times New Roman" w:hAnsi="Times New Roman"/>
          <w:sz w:val="22"/>
        </w:rPr>
        <w:t xml:space="preserve"> </w:t>
      </w:r>
    </w:p>
    <w:p>
      <w:pPr>
        <w:pStyle w:val="Normal"/>
        <w:bidi w:val="0"/>
        <w:jc w:val="both"/>
        <w:rPr>
          <w:rFonts w:ascii="Times New Roman" w:hAnsi="Times New Roman"/>
          <w:sz w:val="22"/>
        </w:rPr>
      </w:pPr>
      <w:r>
        <w:rPr>
          <w:rFonts w:ascii="Times New Roman" w:hAnsi="Times New Roman"/>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bidi w:val="0"/>
        <w:spacing w:lineRule="exact" w:line="240" w:before="240" w:after="0"/>
        <w:ind w:firstLine="720"/>
        <w:jc w:val="both"/>
        <w:rPr>
          <w:rFonts w:ascii="Times New Roman" w:hAnsi="Times New Roman"/>
          <w:sz w:val="22"/>
        </w:rPr>
      </w:pPr>
      <w:r>
        <w:rPr>
          <w:rFonts w:ascii="Times New Roman" w:hAnsi="Times New Roman"/>
          <w:b/>
          <w:sz w:val="22"/>
        </w:rPr>
        <w:t>12.</w:t>
      </w:r>
      <w:r>
        <w:rPr>
          <w:rFonts w:ascii="Times New Roman" w:hAnsi="Times New Roman"/>
          <w:sz w:val="22"/>
        </w:rPr>
        <w:t xml:space="preserve">    </w:t>
      </w:r>
      <w:r>
        <w:rPr>
          <w:rFonts w:ascii="Times New Roman" w:hAnsi="Times New Roman"/>
          <w:b/>
          <w:sz w:val="22"/>
        </w:rPr>
        <w:t xml:space="preserve">Conflicts and Inconsistencies; Confidentiality.    </w:t>
      </w:r>
      <w:r>
        <w:rPr>
          <w:rFonts w:ascii="Times New Roman" w:hAnsi="Times New Roman"/>
          <w:sz w:val="22"/>
        </w:rPr>
        <w:t>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bidi w:val="0"/>
        <w:ind w:firstLine="724" w:start="79" w:end="193"/>
        <w:jc w:val="both"/>
        <w:rPr>
          <w:rFonts w:ascii="Times New Roman" w:hAnsi="Times New Roman"/>
          <w:sz w:val="22"/>
        </w:rPr>
      </w:pPr>
      <w:r>
        <w:rPr>
          <w:rFonts w:ascii="Times New Roman" w:hAnsi="Times New Roman"/>
          <w:sz w:val="22"/>
        </w:rPr>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b/>
          <w:sz w:val="22"/>
        </w:rPr>
        <w:t xml:space="preserve"> </w:t>
      </w:r>
      <w:r>
        <w:rPr>
          <w:rFonts w:ascii="Times New Roman" w:hAnsi="Times New Roman"/>
          <w:b/>
          <w:sz w:val="22"/>
        </w:rPr>
        <w:t>13.    Continuation of Master Agreements; Amendment; Severability.</w:t>
      </w:r>
      <w:r>
        <w:rPr>
          <w:rFonts w:ascii="Times New Roman" w:hAnsi="Times New Roman"/>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w:t>
      </w:r>
      <w:r>
        <w:rPr>
          <w:rFonts w:ascii="Times New Roman" w:hAnsi="Times New Roman"/>
          <w:strike/>
          <w:sz w:val="22"/>
        </w:rPr>
        <w:t>{14(b)}</w:t>
      </w:r>
      <w:r>
        <w:rPr>
          <w:rFonts w:ascii="Times New Roman" w:hAnsi="Times New Roman"/>
          <w:sz w:val="22"/>
        </w:rPr>
        <w:t xml:space="preserve"> </w:t>
      </w:r>
      <w:r>
        <w:rPr>
          <w:rFonts w:ascii="Times New Roman" w:hAnsi="Times New Roman"/>
          <w:b/>
          <w:sz w:val="22"/>
        </w:rPr>
        <w:t>[13(c)]</w:t>
      </w:r>
      <w:r>
        <w:rPr>
          <w:rFonts w:ascii="Times New Roman" w:hAnsi="Times New Roman"/>
          <w:sz w:val="22"/>
        </w:rPr>
        <w:t>, the provisions of this Agreement will be deemed severable and the invalidity or unenforceability of any provision will not affect the validity or enforceability of the other provisions hereof; provided that if any provision of this Agreement, as applied to any party or to any circumstance, is adjudged by a governmental body, arbitrator, or mediator not to be enforceable in accordance with its terms, the parties agree that the governmental body, arbitrator, or mediator making such determination will have the power to modify the provision in a manner consistent with its objectives such that it is enforceable, and/or to delete specific words or phrases, and in its reduced form, such provision will then be enforceable and will be enforced.</w:t>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sz w:val="22"/>
        </w:rPr>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sz w:val="22"/>
        </w:rPr>
      </w:r>
    </w:p>
    <w:p>
      <w:pPr>
        <w:pStyle w:val="Normal"/>
        <w:tabs>
          <w:tab w:val="clear" w:pos="720"/>
          <w:tab w:val="left" w:pos="1260" w:leader="none"/>
        </w:tabs>
        <w:bidi w:val="0"/>
        <w:ind w:firstLine="720"/>
        <w:jc w:val="both"/>
        <w:rPr>
          <w:rFonts w:ascii="Times New Roman" w:hAnsi="Times New Roman"/>
          <w:sz w:val="22"/>
        </w:rPr>
      </w:pPr>
      <w:r>
        <w:rPr>
          <w:rFonts w:ascii="Times New Roman" w:hAnsi="Times New Roman"/>
          <w:sz w:val="22"/>
        </w:rPr>
        <w:t>(c)    If either of Section 2 or Section 3 is deemed or held to be invalid, illegal, or unenforceable, this Agreement shall be deemed to be null and void in its entirety and without any further force or effect.</w:t>
      </w:r>
    </w:p>
    <w:p>
      <w:pPr>
        <w:pStyle w:val="Normal"/>
        <w:bidi w:val="0"/>
        <w:jc w:val="both"/>
        <w:rPr>
          <w:rFonts w:ascii="Times New Roman" w:hAnsi="Times New Roman"/>
          <w:sz w:val="22"/>
        </w:rPr>
      </w:pPr>
      <w:r>
        <w:rPr>
          <w:rFonts w:ascii="Times New Roman" w:hAnsi="Times New Roman"/>
          <w:sz w:val="22"/>
        </w:rPr>
      </w:r>
    </w:p>
    <w:p>
      <w:pPr>
        <w:pStyle w:val="Normal"/>
        <w:tabs>
          <w:tab w:val="left" w:pos="720" w:leader="none"/>
          <w:tab w:val="left" w:pos="1260" w:leader="none"/>
        </w:tabs>
        <w:bidi w:val="0"/>
        <w:jc w:val="both"/>
        <w:rPr>
          <w:rFonts w:ascii="Times New Roman" w:hAnsi="Times New Roman"/>
          <w:sz w:val="22"/>
        </w:rPr>
      </w:pPr>
      <w:r>
        <w:rPr>
          <w:rFonts w:ascii="Times New Roman" w:hAnsi="Times New Roman"/>
          <w:sz w:val="22"/>
        </w:rPr>
        <w:tab/>
      </w:r>
      <w:r>
        <w:rPr>
          <w:rFonts w:ascii="Times New Roman" w:hAnsi="Times New Roman"/>
          <w:b/>
          <w:sz w:val="22"/>
        </w:rPr>
        <w:t>14.    No Waiver.</w:t>
      </w:r>
      <w:r>
        <w:rPr>
          <w:rFonts w:ascii="Times New Roman" w:hAnsi="Times New Roman"/>
          <w:sz w:val="22"/>
        </w:rPr>
        <w:t>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color w:val="FF0000"/>
          <w:sz w:val="22"/>
        </w:rPr>
      </w:pPr>
      <w:r>
        <w:rPr>
          <w:rFonts w:ascii="Times New Roman" w:hAnsi="Times New Roman"/>
          <w:sz w:val="22"/>
        </w:rPr>
        <w:tab/>
      </w:r>
      <w:r>
        <w:rPr>
          <w:rFonts w:ascii="Times New Roman" w:hAnsi="Times New Roman"/>
          <w:b/>
          <w:sz w:val="22"/>
        </w:rPr>
        <w:t xml:space="preserve">15.    Arbitration.    </w:t>
      </w:r>
      <w:r>
        <w:rPr>
          <w:rFonts w:ascii="Times New Roman" w:hAnsi="Times New Roman"/>
          <w:sz w:val="22"/>
        </w:rPr>
        <w:t>Notwithstanding any provisions in any of the Underlying Master Agreements, any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rFonts w:ascii="Times New Roman" w:hAnsi="Times New Roman"/>
          <w:sz w:val="22"/>
          <w:u w:val="single"/>
        </w:rPr>
        <w:t>Claims</w:t>
      </w:r>
      <w:r>
        <w:rPr>
          <w:rFonts w:ascii="Times New Roman" w:hAnsi="Times New Roman"/>
          <w:sz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The arbitrators shall have the authority to establish rules and procedures governing the arbitration hearing.    The three arbitrators shall commence the arbitration hearing within thirty days following the appointment of the third arbitrator, or on a later date designated by the Parties.    Each Party shall have an opportunity to present its evidence at the hearing.    The arbitrators’ decision must be rendered within thirty days following the conclusion of the hearing or submission of evidence, but no later than ninety days after appointment of the third arbitrator.    To the fullest extent permitted by law, all documents associated with any arbitration proceeding, all evidence submitted during any arbitration proceeding, all testimony presented during any arbitration proceeding and the arbitrators' award shall be maintained in confidence by the Parties.    The decision of the arbitrators, or a majority of them, shall be in writing and shall be final and binding upon the Parties as to any issues submitted.    Each Party shall bear the expense and cost of its arbitrator and one-half of the expense and cost of the third arbitrator.    Each Party shall also bear its own expenses related to the arbitration, including attorneys’ fees, expert fees, and other expenses.</w:t>
      </w:r>
    </w:p>
    <w:p>
      <w:pPr>
        <w:pStyle w:val="Normal"/>
        <w:tabs>
          <w:tab w:val="left" w:pos="720" w:leader="none"/>
          <w:tab w:val="left" w:pos="1260" w:leader="none"/>
        </w:tabs>
        <w:bidi w:val="0"/>
        <w:jc w:val="both"/>
        <w:rPr>
          <w:rFonts w:ascii="Times New Roman" w:hAnsi="Times New Roman"/>
          <w:b/>
          <w:sz w:val="22"/>
        </w:rPr>
      </w:pPr>
      <w:r>
        <w:rPr>
          <w:rFonts w:ascii="Times New Roman" w:hAnsi="Times New Roman"/>
          <w:b/>
          <w:sz w:val="22"/>
        </w:rPr>
      </w:r>
    </w:p>
    <w:p>
      <w:pPr>
        <w:pStyle w:val="Normal"/>
        <w:tabs>
          <w:tab w:val="left" w:pos="720" w:leader="none"/>
          <w:tab w:val="left" w:pos="1260" w:leader="none"/>
        </w:tabs>
        <w:bidi w:val="0"/>
        <w:jc w:val="both"/>
        <w:rPr>
          <w:rFonts w:ascii="Times New Roman" w:hAnsi="Times New Roman"/>
          <w:sz w:val="22"/>
        </w:rPr>
      </w:pPr>
      <w:r>
        <w:rPr>
          <w:rFonts w:ascii="Times New Roman" w:hAnsi="Times New Roman"/>
          <w:b/>
          <w:sz w:val="22"/>
        </w:rPr>
        <w:tab/>
        <w:t>17.    Term.</w:t>
      </w:r>
      <w:r>
        <w:rPr>
          <w:rFonts w:ascii="Times New Roman" w:hAnsi="Times New Roman"/>
          <w:sz w:val="22"/>
        </w:rPr>
        <w:t xml:space="preserve">    This Agreement shall continue in effect from the date hereof </w:t>
      </w:r>
      <w:r>
        <w:rPr>
          <w:rFonts w:ascii="Times New Roman" w:hAnsi="Times New Roman"/>
          <w:strike/>
          <w:sz w:val="22"/>
        </w:rPr>
        <w:t>{until terminated by agreement of the Parties}</w:t>
      </w:r>
      <w:r>
        <w:rPr>
          <w:rFonts w:ascii="Times New Roman" w:hAnsi="Times New Roman"/>
          <w:sz w:val="22"/>
        </w:rPr>
        <w:t xml:space="preserve"> </w:t>
      </w:r>
      <w:r>
        <w:rPr>
          <w:rFonts w:ascii="Times New Roman" w:hAnsi="Times New Roman"/>
          <w:b/>
          <w:sz w:val="22"/>
        </w:rPr>
        <w:t>[through February 28, 2002]</w:t>
      </w:r>
      <w:r>
        <w:rPr>
          <w:rFonts w:ascii="Times New Roman" w:hAnsi="Times New Roman"/>
          <w:sz w:val="22"/>
        </w:rPr>
        <w:t>;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bidi w:val="0"/>
        <w:jc w:val="both"/>
        <w:rPr>
          <w:rFonts w:ascii="Times New Roman" w:hAnsi="Times New Roman"/>
          <w:b/>
          <w:sz w:val="22"/>
        </w:rPr>
      </w:pPr>
      <w:r>
        <w:rPr>
          <w:rFonts w:ascii="Times New Roman" w:hAnsi="Times New Roman"/>
          <w:b/>
          <w:sz w:val="22"/>
        </w:rPr>
      </w:r>
    </w:p>
    <w:p>
      <w:pPr>
        <w:pStyle w:val="Normal"/>
        <w:tabs>
          <w:tab w:val="left" w:pos="720" w:leader="none"/>
          <w:tab w:val="left" w:pos="1260" w:leader="none"/>
        </w:tabs>
        <w:bidi w:val="0"/>
        <w:jc w:val="both"/>
        <w:rPr>
          <w:rFonts w:ascii="Times New Roman" w:hAnsi="Times New Roman"/>
          <w:sz w:val="22"/>
        </w:rPr>
      </w:pPr>
      <w:r>
        <w:rPr>
          <w:rFonts w:ascii="Times New Roman" w:hAnsi="Times New Roman"/>
          <w:b/>
          <w:sz w:val="22"/>
        </w:rPr>
        <w:tab/>
      </w:r>
      <w:r>
        <w:rPr>
          <w:rFonts w:ascii="Times New Roman" w:hAnsi="Times New Roman"/>
          <w:sz w:val="22"/>
        </w:rPr>
        <w:t xml:space="preserve"> </w:t>
      </w:r>
      <w:r>
        <w:br w:type="page"/>
      </w:r>
    </w:p>
    <w:p>
      <w:pPr>
        <w:pStyle w:val="Normal"/>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sz w:val="22"/>
        </w:rPr>
      </w:pPr>
      <w:r>
        <w:rPr>
          <w:rFonts w:ascii="Times New Roman" w:hAnsi="Times New Roman"/>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"ENRON GROUP"</w:t>
      </w:r>
    </w:p>
    <w:p>
      <w:pPr>
        <w:pStyle w:val="Normal"/>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b/>
          <w:sz w:val="22"/>
        </w:rPr>
      </w:pPr>
      <w:r>
        <w:rPr>
          <w:rFonts w:ascii="Times New Roman" w:hAnsi="Times New Roman"/>
          <w:b/>
          <w:sz w:val="22"/>
        </w:rPr>
        <w:t>ENRON NORTH AMERICA CORP.</w:t>
      </w:r>
    </w:p>
    <w:p>
      <w:pPr>
        <w:pStyle w:val="OmniPage6"/>
        <w:bidi w:val="0"/>
        <w:jc w:val="both"/>
        <w:rPr>
          <w:rFonts w:ascii="Times New Roman" w:hAnsi="Times New Roman"/>
          <w:b/>
          <w:sz w:val="22"/>
        </w:rPr>
      </w:pPr>
      <w:r>
        <w:rPr>
          <w:rFonts w:ascii="Times New Roman" w:hAnsi="Times New Roman"/>
          <w:b/>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Location of state of incorporation or organization:    _______________</w:t>
      </w:r>
    </w:p>
    <w:p>
      <w:pPr>
        <w:pStyle w:val="Normal"/>
        <w:bidi w:val="0"/>
        <w:jc w:val="both"/>
        <w:rPr>
          <w:rFonts w:ascii="Times New Roman" w:hAnsi="Times New Roman"/>
          <w:sz w:val="22"/>
        </w:rPr>
      </w:pPr>
      <w:r>
        <w:rPr>
          <w:rFonts w:ascii="Times New Roman" w:hAnsi="Times New Roman"/>
          <w:sz w:val="22"/>
        </w:rPr>
        <w:t>Location of chief executive office:    __________________________</w:t>
      </w:r>
    </w:p>
    <w:p>
      <w:pPr>
        <w:pStyle w:val="Normal"/>
        <w:bidi w:val="0"/>
        <w:jc w:val="both"/>
        <w:rPr>
          <w:rFonts w:ascii="Times New Roman" w:hAnsi="Times New Roman"/>
          <w:sz w:val="22"/>
        </w:rPr>
      </w:pPr>
      <w:r>
        <w:rPr>
          <w:rFonts w:ascii="Times New Roman" w:hAnsi="Times New Roman"/>
          <w:sz w:val="22"/>
        </w:rPr>
        <w:t>____________________________________________________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ENRON POWER MARKETING, INC.</w:t>
      </w:r>
    </w:p>
    <w:p>
      <w:pPr>
        <w:pStyle w:val="Normal"/>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Location of state of incorporation or organization:    _______________</w:t>
      </w:r>
    </w:p>
    <w:p>
      <w:pPr>
        <w:pStyle w:val="Normal"/>
        <w:bidi w:val="0"/>
        <w:jc w:val="both"/>
        <w:rPr>
          <w:rFonts w:ascii="Times New Roman" w:hAnsi="Times New Roman"/>
          <w:sz w:val="22"/>
        </w:rPr>
      </w:pPr>
      <w:r>
        <w:rPr>
          <w:rFonts w:ascii="Times New Roman" w:hAnsi="Times New Roman"/>
          <w:sz w:val="22"/>
        </w:rPr>
        <w:t>Location of chief executive office:    __________________________</w:t>
      </w:r>
    </w:p>
    <w:p>
      <w:pPr>
        <w:pStyle w:val="Normal"/>
        <w:bidi w:val="0"/>
        <w:jc w:val="both"/>
        <w:rPr>
          <w:rFonts w:ascii="Times New Roman" w:hAnsi="Times New Roman"/>
          <w:sz w:val="22"/>
        </w:rPr>
      </w:pPr>
      <w:r>
        <w:rPr>
          <w:rFonts w:ascii="Times New Roman" w:hAnsi="Times New Roman"/>
          <w:sz w:val="22"/>
        </w:rPr>
        <w:t>____________________________________________________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ENRON ENERGY SERVICES, INC.</w:t>
      </w:r>
    </w:p>
    <w:p>
      <w:pPr>
        <w:pStyle w:val="Normal"/>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Location of state of incorporation or organization:    _______________</w:t>
      </w:r>
    </w:p>
    <w:p>
      <w:pPr>
        <w:pStyle w:val="Normal"/>
        <w:bidi w:val="0"/>
        <w:jc w:val="both"/>
        <w:rPr>
          <w:rFonts w:ascii="Times New Roman" w:hAnsi="Times New Roman"/>
          <w:sz w:val="22"/>
        </w:rPr>
      </w:pPr>
      <w:r>
        <w:rPr>
          <w:rFonts w:ascii="Times New Roman" w:hAnsi="Times New Roman"/>
          <w:sz w:val="22"/>
        </w:rPr>
        <w:t>Location of chief executive office:    __________________________</w:t>
      </w:r>
    </w:p>
    <w:p>
      <w:pPr>
        <w:pStyle w:val="Normal"/>
        <w:bidi w:val="0"/>
        <w:jc w:val="both"/>
        <w:rPr>
          <w:rFonts w:ascii="Times New Roman" w:hAnsi="Times New Roman"/>
          <w:sz w:val="22"/>
        </w:rPr>
      </w:pPr>
      <w:r>
        <w:rPr>
          <w:rFonts w:ascii="Times New Roman" w:hAnsi="Times New Roman"/>
          <w:sz w:val="22"/>
        </w:rPr>
        <w:t>____________________________________________________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ENRON CAPITAL &amp; TRADE RESOURCES INTERNATIONAL, INC.</w:t>
      </w:r>
    </w:p>
    <w:p>
      <w:pPr>
        <w:pStyle w:val="Normal"/>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Location of state of incorporation or organization:    _______________</w:t>
      </w:r>
    </w:p>
    <w:p>
      <w:pPr>
        <w:pStyle w:val="Normal"/>
        <w:bidi w:val="0"/>
        <w:jc w:val="both"/>
        <w:rPr>
          <w:rFonts w:ascii="Times New Roman" w:hAnsi="Times New Roman"/>
          <w:sz w:val="22"/>
        </w:rPr>
      </w:pPr>
      <w:r>
        <w:rPr>
          <w:rFonts w:ascii="Times New Roman" w:hAnsi="Times New Roman"/>
          <w:sz w:val="22"/>
        </w:rPr>
        <w:t>Location of chief executive office:    __________________________</w:t>
      </w:r>
    </w:p>
    <w:p>
      <w:pPr>
        <w:pStyle w:val="Normal"/>
        <w:bidi w:val="0"/>
        <w:jc w:val="both"/>
        <w:rPr>
          <w:rFonts w:ascii="Times New Roman" w:hAnsi="Times New Roman"/>
          <w:sz w:val="22"/>
        </w:rPr>
      </w:pPr>
      <w:r>
        <w:rPr>
          <w:rFonts w:ascii="Times New Roman" w:hAnsi="Times New Roman"/>
          <w:sz w:val="22"/>
        </w:rPr>
        <w:t>____________________________________________________</w:t>
      </w:r>
    </w:p>
    <w:p>
      <w:pPr>
        <w:pStyle w:val="Normal"/>
        <w:bidi w:val="0"/>
        <w:jc w:val="both"/>
        <w:rPr>
          <w:rFonts w:ascii="Times New Roman" w:hAnsi="Times New Roman"/>
          <w:sz w:val="22"/>
        </w:rPr>
      </w:pPr>
      <w:r>
        <w:rPr>
          <w:rFonts w:ascii="Times New Roman" w:hAnsi="Times New Roman"/>
          <w:sz w:val="22"/>
        </w:rPr>
      </w:r>
      <w:r>
        <w:br w:type="page"/>
      </w:r>
    </w:p>
    <w:p>
      <w:pPr>
        <w:pStyle w:val="Normal"/>
        <w:bidi w:val="0"/>
        <w:jc w:val="both"/>
        <w:rPr>
          <w:rFonts w:ascii="Times New Roman" w:hAnsi="Times New Roman"/>
          <w:b/>
          <w:sz w:val="22"/>
        </w:rPr>
      </w:pPr>
      <w:r>
        <w:rPr>
          <w:rFonts w:ascii="Times New Roman" w:hAnsi="Times New Roman"/>
          <w:b/>
          <w:sz w:val="22"/>
        </w:rPr>
        <w:t>ENRON CAPITAL &amp; TRADE RESOURCES LTD.</w:t>
      </w:r>
    </w:p>
    <w:p>
      <w:pPr>
        <w:pStyle w:val="Normal"/>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Location of state of incorporation or organization:    _______________</w:t>
      </w:r>
    </w:p>
    <w:p>
      <w:pPr>
        <w:pStyle w:val="Normal"/>
        <w:bidi w:val="0"/>
        <w:jc w:val="both"/>
        <w:rPr>
          <w:rFonts w:ascii="Times New Roman" w:hAnsi="Times New Roman"/>
          <w:sz w:val="22"/>
        </w:rPr>
      </w:pPr>
      <w:r>
        <w:rPr>
          <w:rFonts w:ascii="Times New Roman" w:hAnsi="Times New Roman"/>
          <w:sz w:val="22"/>
        </w:rPr>
        <w:t>Location of chief executive office:    __________________________</w:t>
      </w:r>
    </w:p>
    <w:p>
      <w:pPr>
        <w:pStyle w:val="Normal"/>
        <w:bidi w:val="0"/>
        <w:jc w:val="both"/>
        <w:rPr>
          <w:rFonts w:ascii="Times New Roman" w:hAnsi="Times New Roman"/>
          <w:sz w:val="22"/>
        </w:rPr>
      </w:pPr>
      <w:r>
        <w:rPr>
          <w:rFonts w:ascii="Times New Roman" w:hAnsi="Times New Roman"/>
          <w:sz w:val="22"/>
        </w:rPr>
        <w:t>____________________________________________________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ENRON BROADBAND SERVICES, L.P.,</w:t>
      </w:r>
    </w:p>
    <w:p>
      <w:pPr>
        <w:pStyle w:val="Normal"/>
        <w:bidi w:val="0"/>
        <w:jc w:val="both"/>
        <w:rPr>
          <w:rFonts w:ascii="Times New Roman" w:hAnsi="Times New Roman"/>
          <w:sz w:val="22"/>
        </w:rPr>
      </w:pPr>
      <w:r>
        <w:rPr>
          <w:rFonts w:ascii="Times New Roman" w:hAnsi="Times New Roman"/>
          <w:sz w:val="22"/>
        </w:rPr>
        <w:t xml:space="preserve">By </w:t>
      </w:r>
      <w:r>
        <w:rPr>
          <w:rFonts w:ascii="Times New Roman" w:hAnsi="Times New Roman"/>
          <w:b/>
          <w:sz w:val="22"/>
        </w:rPr>
        <w:t>ENRON BANDWIDTH, INC</w:t>
      </w:r>
      <w:r>
        <w:rPr>
          <w:rFonts w:ascii="Times New Roman" w:hAnsi="Times New Roman"/>
          <w:sz w:val="22"/>
        </w:rPr>
        <w:t>., its General Partner</w:t>
      </w:r>
    </w:p>
    <w:p>
      <w:pPr>
        <w:pStyle w:val="Normal"/>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Location of state of incorporation or organization:    _______________</w:t>
      </w:r>
    </w:p>
    <w:p>
      <w:pPr>
        <w:pStyle w:val="Normal"/>
        <w:bidi w:val="0"/>
        <w:jc w:val="both"/>
        <w:rPr>
          <w:rFonts w:ascii="Times New Roman" w:hAnsi="Times New Roman"/>
          <w:sz w:val="22"/>
        </w:rPr>
      </w:pPr>
      <w:r>
        <w:rPr>
          <w:rFonts w:ascii="Times New Roman" w:hAnsi="Times New Roman"/>
          <w:sz w:val="22"/>
        </w:rPr>
        <w:t>Location of chief executive office:    __________________________</w:t>
      </w:r>
    </w:p>
    <w:p>
      <w:pPr>
        <w:pStyle w:val="Normal"/>
        <w:bidi w:val="0"/>
        <w:jc w:val="both"/>
        <w:rPr>
          <w:rFonts w:ascii="Times New Roman" w:hAnsi="Times New Roman"/>
          <w:sz w:val="22"/>
        </w:rPr>
      </w:pPr>
      <w:r>
        <w:rPr>
          <w:rFonts w:ascii="Times New Roman" w:hAnsi="Times New Roman"/>
          <w:sz w:val="22"/>
        </w:rPr>
        <w:t>____________________________________________________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b/>
          <w:sz w:val="22"/>
        </w:rPr>
        <w:t>ENRON CANADA CORP.</w:t>
      </w:r>
      <w:r>
        <w:rPr>
          <w:rFonts w:ascii="Times New Roman" w:hAnsi="Times New Roman"/>
          <w:sz w:val="22"/>
        </w:rPr>
        <w:t xml:space="preserve"> </w:t>
      </w:r>
    </w:p>
    <w:p>
      <w:pPr>
        <w:pStyle w:val="Normal"/>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Location of state of incorporation or organization:    _______________</w:t>
      </w:r>
    </w:p>
    <w:p>
      <w:pPr>
        <w:pStyle w:val="Normal"/>
        <w:bidi w:val="0"/>
        <w:jc w:val="both"/>
        <w:rPr>
          <w:rFonts w:ascii="Times New Roman" w:hAnsi="Times New Roman"/>
          <w:sz w:val="22"/>
        </w:rPr>
      </w:pPr>
      <w:r>
        <w:rPr>
          <w:rFonts w:ascii="Times New Roman" w:hAnsi="Times New Roman"/>
          <w:sz w:val="22"/>
        </w:rPr>
        <w:t>Location of chief executive office:    __________________________</w:t>
      </w:r>
    </w:p>
    <w:p>
      <w:pPr>
        <w:pStyle w:val="Normal"/>
        <w:bidi w:val="0"/>
        <w:jc w:val="both"/>
        <w:rPr>
          <w:rFonts w:ascii="Times New Roman" w:hAnsi="Times New Roman"/>
          <w:sz w:val="22"/>
        </w:rPr>
      </w:pPr>
      <w:r>
        <w:rPr>
          <w:rFonts w:ascii="Times New Roman" w:hAnsi="Times New Roman"/>
          <w:sz w:val="22"/>
        </w:rPr>
        <w:t>____________________________________________________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"COUNTERPARTY GROUP"</w:t>
      </w:r>
    </w:p>
    <w:p>
      <w:pPr>
        <w:pStyle w:val="Normal"/>
        <w:bidi w:val="0"/>
        <w:jc w:val="both"/>
        <w:rPr>
          <w:rFonts w:ascii="Times New Roman" w:hAnsi="Times New Roman"/>
          <w:b/>
          <w:sz w:val="22"/>
        </w:rPr>
      </w:pPr>
      <w:r>
        <w:rPr>
          <w:rFonts w:ascii="Times New Roman" w:hAnsi="Times New Roman"/>
          <w:b/>
          <w:sz w:val="22"/>
        </w:rPr>
      </w:r>
    </w:p>
    <w:p>
      <w:pPr>
        <w:pStyle w:val="Heading1"/>
        <w:bidi w:val="0"/>
        <w:rPr>
          <w:rFonts w:ascii="Times New Roman" w:hAnsi="Times New Roman"/>
        </w:rPr>
      </w:pPr>
      <w:r>
        <w:rPr>
          <w:rFonts w:ascii="Times New Roman" w:hAnsi="Times New Roman"/>
        </w:rPr>
        <w:t>DYNEGY MARKETING AND TRADE</w:t>
      </w:r>
    </w:p>
    <w:p>
      <w:pPr>
        <w:pStyle w:val="Normal"/>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Location of state of incorporation or organization: Colorado</w:t>
      </w:r>
    </w:p>
    <w:p>
      <w:pPr>
        <w:pStyle w:val="Normal"/>
        <w:bidi w:val="0"/>
        <w:jc w:val="both"/>
        <w:rPr>
          <w:rFonts w:ascii="Times New Roman" w:hAnsi="Times New Roman"/>
          <w:sz w:val="22"/>
        </w:rPr>
      </w:pPr>
      <w:r>
        <w:rPr>
          <w:rFonts w:ascii="Times New Roman" w:hAnsi="Times New Roman"/>
          <w:sz w:val="22"/>
        </w:rPr>
        <w:t xml:space="preserve">Location of chief executive office:    1000 Louisiana, Suite 5800, Houston, Texas 77002 </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DYNEGY POWER MARKETING, INC.</w:t>
      </w:r>
    </w:p>
    <w:p>
      <w:pPr>
        <w:pStyle w:val="Normal"/>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Location of state of incorporation or organization: Texas</w:t>
      </w:r>
    </w:p>
    <w:p>
      <w:pPr>
        <w:pStyle w:val="Normal"/>
        <w:bidi w:val="0"/>
        <w:jc w:val="both"/>
        <w:rPr>
          <w:rFonts w:ascii="Times New Roman" w:hAnsi="Times New Roman"/>
          <w:sz w:val="22"/>
        </w:rPr>
      </w:pPr>
      <w:r>
        <w:rPr>
          <w:rFonts w:ascii="Times New Roman" w:hAnsi="Times New Roman"/>
          <w:sz w:val="22"/>
        </w:rPr>
        <w:t xml:space="preserve">Location of chief executive office:    1000 Louisiana, Suite 5800, Houston, Texas 77002 </w:t>
      </w:r>
    </w:p>
    <w:p>
      <w:pPr>
        <w:pStyle w:val="Normal"/>
        <w:bidi w:val="0"/>
        <w:jc w:val="both"/>
        <w:rPr>
          <w:rFonts w:ascii="Times New Roman" w:hAnsi="Times New Roman"/>
          <w:sz w:val="22"/>
        </w:rPr>
      </w:pPr>
      <w:r>
        <w:rPr>
          <w:rFonts w:ascii="Times New Roman" w:hAnsi="Times New Roman"/>
          <w:sz w:val="22"/>
        </w:rPr>
      </w:r>
      <w:r>
        <w:br w:type="page"/>
      </w:r>
    </w:p>
    <w:p>
      <w:pPr>
        <w:pStyle w:val="Normal"/>
        <w:bidi w:val="0"/>
        <w:jc w:val="both"/>
        <w:rPr>
          <w:rFonts w:ascii="Times New Roman" w:hAnsi="Times New Roman"/>
          <w:b/>
          <w:sz w:val="22"/>
        </w:rPr>
      </w:pPr>
      <w:r>
        <w:rPr>
          <w:rFonts w:ascii="Times New Roman" w:hAnsi="Times New Roman"/>
          <w:b/>
          <w:sz w:val="22"/>
        </w:rPr>
        <w:t>DYNEGY BROADBAND MARKETING AND TRADE</w:t>
      </w:r>
    </w:p>
    <w:p>
      <w:pPr>
        <w:pStyle w:val="Normal"/>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Location of state of incorporation or organization: Delaware</w:t>
      </w:r>
    </w:p>
    <w:p>
      <w:pPr>
        <w:pStyle w:val="Normal"/>
        <w:bidi w:val="0"/>
        <w:jc w:val="both"/>
        <w:rPr>
          <w:rFonts w:ascii="Times New Roman" w:hAnsi="Times New Roman"/>
          <w:sz w:val="22"/>
        </w:rPr>
      </w:pPr>
      <w:r>
        <w:rPr>
          <w:rFonts w:ascii="Times New Roman" w:hAnsi="Times New Roman"/>
          <w:sz w:val="22"/>
        </w:rPr>
        <w:t xml:space="preserve">Location of chief executive office:    1000 Louisiana, Suite 5800, Houston, Texas 77002 </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b/>
          <w:sz w:val="22"/>
        </w:rPr>
      </w:pPr>
      <w:r>
        <w:rPr>
          <w:rFonts w:ascii="Times New Roman" w:hAnsi="Times New Roman"/>
          <w:b/>
          <w:sz w:val="22"/>
        </w:rPr>
        <w:t>DYNEGY CANADA INC.</w:t>
      </w:r>
    </w:p>
    <w:p>
      <w:pPr>
        <w:pStyle w:val="Normal"/>
        <w:bidi w:val="0"/>
        <w:jc w:val="both"/>
        <w:rPr>
          <w:rFonts w:ascii="Times New Roman" w:hAnsi="Times New Roman"/>
          <w:sz w:val="22"/>
        </w:rPr>
      </w:pPr>
      <w:r>
        <w:rPr>
          <w:rFonts w:ascii="Times New Roman" w:hAnsi="Times New Roman"/>
          <w:sz w:val="22"/>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Location of state of incorporation or organization: Canada</w:t>
      </w:r>
    </w:p>
    <w:p>
      <w:pPr>
        <w:pStyle w:val="Heading1"/>
        <w:bidi w:val="0"/>
        <w:rPr>
          <w:rFonts w:ascii="Times New Roman" w:hAnsi="Times New Roman"/>
        </w:rPr>
      </w:pPr>
      <w:r>
        <w:rPr>
          <w:rFonts w:ascii="Times New Roman" w:hAnsi="Times New Roman"/>
          <w:sz w:val="22"/>
        </w:rPr>
        <w:t>Location of chief executive office: 350 7</w:t>
      </w:r>
      <w:r>
        <w:rPr>
          <w:rFonts w:ascii="Times New Roman" w:hAnsi="Times New Roman"/>
        </w:rPr>
        <w:t>DYNEGY UK LIMITED</w:t>
      </w:r>
    </w:p>
    <w:p>
      <w:pPr>
        <w:pStyle w:val="Normal"/>
        <w:bidi w:val="0"/>
        <w:jc w:val="start"/>
        <w:rPr>
          <w:rFonts w:ascii="Times New Roman" w:hAnsi="Times New Roman"/>
          <w:sz w:val="20"/>
        </w:rPr>
      </w:pPr>
      <w:r>
        <w:rPr>
          <w:rFonts w:ascii="Times New Roman" w:hAnsi="Times New Roman"/>
          <w:sz w:val="20"/>
        </w:rPr>
      </w:r>
    </w:p>
    <w:p>
      <w:pPr>
        <w:pStyle w:val="OmniPage6"/>
        <w:bidi w:val="0"/>
        <w:jc w:val="both"/>
        <w:rPr>
          <w:rFonts w:ascii="Times New Roman" w:hAnsi="Times New Roman"/>
          <w:sz w:val="22"/>
        </w:rPr>
      </w:pPr>
      <w:r>
        <w:rPr>
          <w:rFonts w:ascii="Times New Roman" w:hAnsi="Times New Roman"/>
          <w:sz w:val="22"/>
        </w:rPr>
        <w:t>BY:    _______________________________________</w:t>
      </w:r>
    </w:p>
    <w:p>
      <w:pPr>
        <w:pStyle w:val="OmniPage6"/>
        <w:bidi w:val="0"/>
        <w:jc w:val="both"/>
        <w:rPr>
          <w:rFonts w:ascii="Times New Roman" w:hAnsi="Times New Roman"/>
          <w:sz w:val="22"/>
        </w:rPr>
      </w:pPr>
      <w:r>
        <w:rPr>
          <w:rFonts w:ascii="Times New Roman" w:hAnsi="Times New Roman"/>
          <w:sz w:val="22"/>
        </w:rPr>
        <w:t>PRINTED NAME:    ____________________________</w:t>
      </w:r>
    </w:p>
    <w:p>
      <w:pPr>
        <w:pStyle w:val="OmniPage6"/>
        <w:bidi w:val="0"/>
        <w:jc w:val="both"/>
        <w:rPr>
          <w:rFonts w:ascii="Times New Roman" w:hAnsi="Times New Roman"/>
          <w:sz w:val="22"/>
        </w:rPr>
      </w:pPr>
      <w:r>
        <w:rPr>
          <w:rFonts w:ascii="Times New Roman" w:hAnsi="Times New Roman"/>
          <w:sz w:val="22"/>
        </w:rPr>
        <w:t>TITLE:    _____________________________________</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Location of state of incorporation or organization: London, England</w:t>
      </w:r>
    </w:p>
    <w:p>
      <w:pPr>
        <w:pStyle w:val="Normal"/>
        <w:bidi w:val="0"/>
        <w:jc w:val="start"/>
        <w:rPr>
          <w:rFonts w:ascii="Times New Roman" w:hAnsi="Times New Roman"/>
          <w:color w:val="000000"/>
          <w:sz w:val="22"/>
        </w:rPr>
      </w:pPr>
      <w:r>
        <w:rPr>
          <w:rFonts w:ascii="Times New Roman" w:hAnsi="Times New Roman"/>
          <w:sz w:val="22"/>
        </w:rPr>
        <w:t xml:space="preserve">Location of chief executive office: 4 Grosvenor Place, London, England SW1X </w:t>
      </w:r>
      <w:r>
        <w:rPr>
          <w:rFonts w:ascii="Times New Roman" w:hAnsi="Times New Roman"/>
          <w:color w:val="000000"/>
          <w:sz w:val="22"/>
        </w:rPr>
        <w:t>7HJ</w:t>
      </w:r>
    </w:p>
    <w:p>
      <w:pPr>
        <w:pStyle w:val="Normal"/>
        <w:bidi w:val="0"/>
        <w:jc w:val="both"/>
        <w:rPr>
          <w:rFonts w:ascii="Times New Roman" w:hAnsi="Times New Roman"/>
          <w:sz w:val="22"/>
        </w:rPr>
      </w:pPr>
      <w:r>
        <w:rPr>
          <w:rFonts w:ascii="Times New Roman" w:hAnsi="Times New Roman"/>
          <w:b/>
          <w:sz w:val="22"/>
        </w:rPr>
        <w:t xml:space="preserve"> </w:t>
      </w:r>
    </w:p>
    <w:p>
      <w:pPr>
        <w:pStyle w:val="Normal"/>
        <w:bidi w:val="0"/>
        <w:jc w:val="both"/>
        <w:rPr>
          <w:rFonts w:ascii="Times New Roman" w:hAnsi="Times New Roman"/>
          <w:sz w:val="22"/>
        </w:rPr>
      </w:pPr>
      <w:r>
        <w:rPr>
          <w:rFonts w:ascii="Times New Roman" w:hAnsi="Times New Roman"/>
          <w:sz w:val="22"/>
        </w:rPr>
      </w:r>
    </w:p>
    <w:p>
      <w:pPr>
        <w:pStyle w:val="Normal"/>
        <w:bidi w:val="0"/>
        <w:jc w:val="both"/>
        <w:rPr>
          <w:rFonts w:ascii="Times New Roman" w:hAnsi="Times New Roman"/>
          <w:sz w:val="22"/>
        </w:rPr>
      </w:pPr>
      <w:r>
        <w:rPr>
          <w:rFonts w:ascii="Times New Roman" w:hAnsi="Times New Roman"/>
          <w:sz w:val="22"/>
        </w:rPr>
        <w:t>ANNEX A</w:t>
      </w:r>
    </w:p>
    <w:p>
      <w:pPr>
        <w:pStyle w:val="Normal"/>
        <w:bidi w:val="0"/>
        <w:jc w:val="both"/>
        <w:rPr>
          <w:rFonts w:ascii="Times New Roman" w:hAnsi="Times New Roman"/>
          <w:sz w:val="22"/>
        </w:rPr>
      </w:pPr>
      <w:r>
        <w:rPr>
          <w:rFonts w:ascii="Times New Roman" w:hAnsi="Times New Roman"/>
          <w:sz w:val="22"/>
        </w:rPr>
        <w:t>ENRON GROUP GUARANTY AGREEMENT</w:t>
      </w:r>
    </w:p>
    <w:p>
      <w:pPr>
        <w:pStyle w:val="Normal"/>
        <w:bidi w:val="0"/>
        <w:jc w:val="both"/>
        <w:rPr>
          <w:rFonts w:ascii="Times New Roman" w:hAnsi="Times New Roman"/>
          <w:sz w:val="22"/>
        </w:rPr>
      </w:pPr>
      <w:r>
        <w:rPr>
          <w:rFonts w:ascii="Times New Roman" w:hAnsi="Times New Roman"/>
          <w:sz w:val="22"/>
        </w:rPr>
        <w:t>COUNTERPARTY GROUP GUARANTY AGREEMENT</w:t>
      </w:r>
    </w:p>
    <w:p>
      <w:pPr>
        <w:pStyle w:val="Normal"/>
        <w:bidi w:val="0"/>
        <w:jc w:val="both"/>
        <w:rPr>
          <w:rFonts w:ascii="Times New Roman" w:hAnsi="Times New Roman"/>
          <w:sz w:val="20"/>
        </w:rPr>
      </w:pPr>
      <w:r>
        <w:rPr>
          <w:rFonts w:ascii="Times New Roman" w:hAnsi="Times New Roman"/>
          <w:sz w:val="20"/>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[1:3 1:3] Changed</w:t>
        <w:tab/>
        <w:t>"(“DMT”)" to "("DMT")"</w:t>
      </w:r>
    </w:p>
    <w:p>
      <w:pPr>
        <w:pStyle w:val="Normal"/>
        <w:bidi w:val="0"/>
        <w:spacing w:lineRule="atLeast" w:line="240"/>
        <w:jc w:val="start"/>
        <w:rPr>
          <w:rFonts w:ascii="Times New Roman" w:hAnsi="Times New Roman"/>
        </w:rPr>
      </w:pPr>
      <w:r>
        <w:rPr>
          <w:rFonts w:ascii="Times New Roman" w:hAnsi="Times New Roman"/>
        </w:rPr>
        <w:t>[1:3 1:3] Changed</w:t>
        <w:tab/>
        <w:t>"(“DYPM”)" to "("DYPM")"</w:t>
      </w:r>
    </w:p>
    <w:p>
      <w:pPr>
        <w:pStyle w:val="Normal"/>
        <w:bidi w:val="0"/>
        <w:spacing w:lineRule="atLeast" w:line="240"/>
        <w:jc w:val="start"/>
        <w:rPr>
          <w:rFonts w:ascii="Times New Roman" w:hAnsi="Times New Roman"/>
        </w:rPr>
      </w:pPr>
      <w:r>
        <w:rPr>
          <w:rFonts w:ascii="Times New Roman" w:hAnsi="Times New Roman"/>
        </w:rPr>
        <w:t>[1:3 1:3] Changed</w:t>
        <w:tab/>
        <w:t>"(“DBMT”)" to "("DBMT")"</w:t>
      </w:r>
    </w:p>
    <w:p>
      <w:pPr>
        <w:pStyle w:val="Normal"/>
        <w:bidi w:val="0"/>
        <w:spacing w:lineRule="atLeast" w:line="240"/>
        <w:jc w:val="start"/>
        <w:rPr>
          <w:rFonts w:ascii="Times New Roman" w:hAnsi="Times New Roman"/>
        </w:rPr>
      </w:pPr>
      <w:r>
        <w:rPr>
          <w:rFonts w:ascii="Times New Roman" w:hAnsi="Times New Roman"/>
        </w:rPr>
        <w:t>[1:3 1:3] Changed</w:t>
        <w:tab/>
        <w:t>"(“DCI”)" to "("DCI")"</w:t>
      </w:r>
    </w:p>
    <w:p>
      <w:pPr>
        <w:pStyle w:val="Normal"/>
        <w:bidi w:val="0"/>
        <w:spacing w:lineRule="atLeast" w:line="240"/>
        <w:jc w:val="start"/>
        <w:rPr>
          <w:rFonts w:ascii="Times New Roman" w:hAnsi="Times New Roman"/>
        </w:rPr>
      </w:pPr>
      <w:r>
        <w:rPr>
          <w:rFonts w:ascii="Times New Roman" w:hAnsi="Times New Roman"/>
        </w:rPr>
        <w:t>[1:3 1:3] Changed</w:t>
        <w:tab/>
        <w:t>"(DUK)" to "("DUK")"</w:t>
      </w:r>
    </w:p>
    <w:p>
      <w:pPr>
        <w:pStyle w:val="Normal"/>
        <w:bidi w:val="0"/>
        <w:spacing w:lineRule="atLeast" w:line="240"/>
        <w:jc w:val="start"/>
        <w:rPr>
          <w:rFonts w:ascii="Times New Roman" w:hAnsi="Times New Roman"/>
        </w:rPr>
      </w:pPr>
      <w:r>
        <w:rPr>
          <w:rFonts w:ascii="Times New Roman" w:hAnsi="Times New Roman"/>
        </w:rPr>
        <w:t>[1:3 1:3] Changed</w:t>
        <w:tab/>
        <w:t>"(“EES”)" to "("EES")"</w:t>
      </w:r>
    </w:p>
    <w:p>
      <w:pPr>
        <w:pStyle w:val="Normal"/>
        <w:bidi w:val="0"/>
        <w:spacing w:lineRule="atLeast" w:line="240"/>
        <w:jc w:val="start"/>
        <w:rPr>
          <w:rFonts w:ascii="Times New Roman" w:hAnsi="Times New Roman"/>
        </w:rPr>
      </w:pPr>
      <w:r>
        <w:rPr>
          <w:rFonts w:ascii="Times New Roman" w:hAnsi="Times New Roman"/>
        </w:rPr>
        <w:t>[1:3 1:3] Changed</w:t>
        <w:tab/>
        <w:t>"(“ECTRIC”)" to "("ECTRIC")"</w:t>
      </w:r>
    </w:p>
    <w:p>
      <w:pPr>
        <w:pStyle w:val="Normal"/>
        <w:bidi w:val="0"/>
        <w:spacing w:lineRule="atLeast" w:line="240"/>
        <w:jc w:val="start"/>
        <w:rPr>
          <w:rFonts w:ascii="Times New Roman" w:hAnsi="Times New Roman"/>
        </w:rPr>
      </w:pPr>
      <w:r>
        <w:rPr>
          <w:rFonts w:ascii="Times New Roman" w:hAnsi="Times New Roman"/>
        </w:rPr>
        <w:t>[1:3 1:3] Changed</w:t>
        <w:tab/>
        <w:t>"(“ECTRL”)" to "("ECTRL")"</w:t>
      </w:r>
    </w:p>
    <w:p>
      <w:pPr>
        <w:pStyle w:val="Normal"/>
        <w:bidi w:val="0"/>
        <w:spacing w:lineRule="atLeast" w:line="240"/>
        <w:jc w:val="start"/>
        <w:rPr>
          <w:rFonts w:ascii="Times New Roman" w:hAnsi="Times New Roman"/>
        </w:rPr>
      </w:pPr>
      <w:r>
        <w:rPr>
          <w:rFonts w:ascii="Times New Roman" w:hAnsi="Times New Roman"/>
        </w:rPr>
        <w:t>[1:3 1:3] Changed</w:t>
        <w:tab/>
        <w:t>"(“EBS”)" to "("EBS")"</w:t>
      </w:r>
    </w:p>
    <w:p>
      <w:pPr>
        <w:pStyle w:val="Normal"/>
        <w:bidi w:val="0"/>
        <w:spacing w:lineRule="atLeast" w:line="240"/>
        <w:jc w:val="start"/>
        <w:rPr>
          <w:rFonts w:ascii="Times New Roman" w:hAnsi="Times New Roman"/>
        </w:rPr>
      </w:pPr>
      <w:r>
        <w:rPr>
          <w:rFonts w:ascii="Times New Roman" w:hAnsi="Times New Roman"/>
        </w:rPr>
        <w:t>[1:3 1:3] Changed</w:t>
        <w:tab/>
        <w:t>"Corp.(“ECC”)" to "Corp.("ECC")"</w:t>
      </w:r>
    </w:p>
    <w:p>
      <w:pPr>
        <w:pStyle w:val="Normal"/>
        <w:bidi w:val="0"/>
        <w:spacing w:lineRule="atLeast" w:line="240"/>
        <w:jc w:val="start"/>
        <w:rPr>
          <w:rFonts w:ascii="Times New Roman" w:hAnsi="Times New Roman"/>
        </w:rPr>
      </w:pPr>
      <w:r>
        <w:rPr>
          <w:rFonts w:ascii="Times New Roman" w:hAnsi="Times New Roman"/>
        </w:rPr>
        <w:t>[1:12 1:12] Changed</w:t>
        <w:tab/>
        <w:t>"“GISB " to ""GISB "</w:t>
      </w:r>
    </w:p>
    <w:p>
      <w:pPr>
        <w:pStyle w:val="Normal"/>
        <w:bidi w:val="0"/>
        <w:spacing w:lineRule="atLeast" w:line="240"/>
        <w:jc w:val="start"/>
        <w:rPr>
          <w:rFonts w:ascii="Times New Roman" w:hAnsi="Times New Roman"/>
        </w:rPr>
      </w:pPr>
      <w:r>
        <w:rPr>
          <w:rFonts w:ascii="Times New Roman" w:hAnsi="Times New Roman"/>
        </w:rPr>
        <w:t>[1:12 1:12] Changed</w:t>
        <w:tab/>
        <w:t>"Agreement”)" to "Agreement")"</w:t>
      </w:r>
    </w:p>
    <w:p>
      <w:pPr>
        <w:pStyle w:val="Normal"/>
        <w:bidi w:val="0"/>
        <w:spacing w:lineRule="atLeast" w:line="240"/>
        <w:jc w:val="start"/>
        <w:rPr>
          <w:rFonts w:ascii="Times New Roman" w:hAnsi="Times New Roman"/>
        </w:rPr>
      </w:pPr>
      <w:r>
        <w:rPr>
          <w:rFonts w:ascii="Times New Roman" w:hAnsi="Times New Roman"/>
        </w:rPr>
        <w:t>[1:15 1:15] Changed</w:t>
        <w:tab/>
        <w:t>"“Broadband " to ""Broadband "</w:t>
      </w:r>
    </w:p>
    <w:p>
      <w:pPr>
        <w:pStyle w:val="Normal"/>
        <w:bidi w:val="0"/>
        <w:spacing w:lineRule="atLeast" w:line="240"/>
        <w:jc w:val="start"/>
        <w:rPr>
          <w:rFonts w:ascii="Times New Roman" w:hAnsi="Times New Roman"/>
        </w:rPr>
      </w:pPr>
      <w:r>
        <w:rPr>
          <w:rFonts w:ascii="Times New Roman" w:hAnsi="Times New Roman"/>
        </w:rPr>
        <w:t>[1:15 1:15] Changed</w:t>
        <w:tab/>
        <w:t>"Agreement”)" to "Agreement")"</w:t>
      </w:r>
    </w:p>
    <w:p>
      <w:pPr>
        <w:pStyle w:val="Normal"/>
        <w:bidi w:val="0"/>
        <w:spacing w:lineRule="atLeast" w:line="240"/>
        <w:jc w:val="start"/>
        <w:rPr>
          <w:rFonts w:ascii="Times New Roman" w:hAnsi="Times New Roman"/>
        </w:rPr>
      </w:pPr>
      <w:r>
        <w:rPr>
          <w:rFonts w:ascii="Times New Roman" w:hAnsi="Times New Roman"/>
        </w:rPr>
        <w:t>[1:31 1:31] Changed</w:t>
        <w:tab/>
        <w:t>"16" to "15"</w:t>
      </w:r>
    </w:p>
    <w:p>
      <w:pPr>
        <w:pStyle w:val="Normal"/>
        <w:bidi w:val="0"/>
        <w:spacing w:lineRule="atLeast" w:line="240"/>
        <w:jc w:val="start"/>
        <w:rPr>
          <w:rFonts w:ascii="Times New Roman" w:hAnsi="Times New Roman"/>
        </w:rPr>
      </w:pPr>
      <w:r>
        <w:rPr>
          <w:rFonts w:ascii="Times New Roman" w:hAnsi="Times New Roman"/>
        </w:rPr>
        <w:t>[1:50 1:50] Changed</w:t>
        <w:tab/>
        <w:t>"“Paying Parties” " to ""Paying Parties" "</w:t>
      </w:r>
    </w:p>
    <w:p>
      <w:pPr>
        <w:pStyle w:val="Normal"/>
        <w:bidi w:val="0"/>
        <w:spacing w:lineRule="atLeast" w:line="240"/>
        <w:jc w:val="start"/>
        <w:rPr>
          <w:rFonts w:ascii="Times New Roman" w:hAnsi="Times New Roman"/>
        </w:rPr>
      </w:pPr>
      <w:r>
        <w:rPr>
          <w:rFonts w:ascii="Times New Roman" w:hAnsi="Times New Roman"/>
        </w:rPr>
        <w:t>[1:50 1:50] Changed</w:t>
        <w:tab/>
        <w:t>"“Final " to ""Final "</w:t>
      </w:r>
    </w:p>
    <w:p>
      <w:pPr>
        <w:pStyle w:val="Normal"/>
        <w:bidi w:val="0"/>
        <w:spacing w:lineRule="atLeast" w:line="240"/>
        <w:jc w:val="start"/>
        <w:rPr>
          <w:rFonts w:ascii="Times New Roman" w:hAnsi="Times New Roman"/>
        </w:rPr>
      </w:pPr>
      <w:r>
        <w:rPr>
          <w:rFonts w:ascii="Times New Roman" w:hAnsi="Times New Roman"/>
        </w:rPr>
        <w:t>[1:50 1:50] Changed</w:t>
        <w:tab/>
        <w:t>"Amount” " to "Amount" "</w:t>
      </w:r>
    </w:p>
    <w:p>
      <w:pPr>
        <w:pStyle w:val="Normal"/>
        <w:bidi w:val="0"/>
        <w:spacing w:lineRule="atLeast" w:line="240"/>
        <w:jc w:val="start"/>
        <w:rPr>
          <w:rFonts w:ascii="Times New Roman" w:hAnsi="Times New Roman"/>
        </w:rPr>
      </w:pPr>
      <w:r>
        <w:rPr>
          <w:rFonts w:ascii="Times New Roman" w:hAnsi="Times New Roman"/>
        </w:rPr>
        <w:t>[1:55 1:55] Changed</w:t>
        <w:tab/>
        <w:t>"Agreement." to "Agreement;    ...    Agreement."</w:t>
      </w:r>
    </w:p>
    <w:p>
      <w:pPr>
        <w:pStyle w:val="Normal"/>
        <w:bidi w:val="0"/>
        <w:spacing w:lineRule="atLeast" w:line="240"/>
        <w:jc w:val="start"/>
        <w:rPr>
          <w:rFonts w:ascii="Times New Roman" w:hAnsi="Times New Roman"/>
        </w:rPr>
      </w:pPr>
      <w:r>
        <w:rPr>
          <w:rFonts w:ascii="Times New Roman" w:hAnsi="Times New Roman"/>
        </w:rPr>
        <w:t>[1:56 1:56] Changed</w:t>
        <w:tab/>
        <w:t>"(ii) exercise" to "(ii) exercise    ...    and exercise"</w:t>
      </w:r>
    </w:p>
    <w:p>
      <w:pPr>
        <w:pStyle w:val="Normal"/>
        <w:bidi w:val="0"/>
        <w:spacing w:lineRule="atLeast" w:line="240"/>
        <w:jc w:val="start"/>
        <w:rPr>
          <w:rFonts w:ascii="Times New Roman" w:hAnsi="Times New Roman"/>
        </w:rPr>
      </w:pPr>
      <w:r>
        <w:rPr>
          <w:rFonts w:ascii="Times New Roman" w:hAnsi="Times New Roman"/>
        </w:rPr>
        <w:t>[1:59 1:59] Changed</w:t>
        <w:tab/>
        <w:t>"“Paying Parties”) " to ""Paying Parties") "</w:t>
      </w:r>
    </w:p>
    <w:p>
      <w:pPr>
        <w:pStyle w:val="Normal"/>
        <w:bidi w:val="0"/>
        <w:spacing w:lineRule="atLeast" w:line="240"/>
        <w:jc w:val="start"/>
        <w:rPr>
          <w:rFonts w:ascii="Times New Roman" w:hAnsi="Times New Roman"/>
        </w:rPr>
      </w:pPr>
      <w:r>
        <w:rPr>
          <w:rFonts w:ascii="Times New Roman" w:hAnsi="Times New Roman"/>
        </w:rPr>
        <w:t>[1:93 1:93] Changed</w:t>
        <w:tab/>
        <w:t>"14(b)" to "13(c)"</w:t>
      </w:r>
    </w:p>
    <w:p>
      <w:pPr>
        <w:pStyle w:val="Normal"/>
        <w:bidi w:val="0"/>
        <w:spacing w:lineRule="atLeast" w:line="240"/>
        <w:jc w:val="start"/>
        <w:rPr>
          <w:rFonts w:ascii="Times New Roman" w:hAnsi="Times New Roman"/>
        </w:rPr>
      </w:pPr>
      <w:r>
        <w:rPr>
          <w:rFonts w:ascii="Times New Roman" w:hAnsi="Times New Roman"/>
        </w:rPr>
        <w:t>[1:98 1:98] Changed</w:t>
        <w:tab/>
        <w:t>"until terminated    ...    the Parties" to "through February 28, 2002"</w:t>
      </w:r>
    </w:p>
    <w:p>
      <w:pPr>
        <w:pStyle w:val="Normal"/>
        <w:bidi w:val="0"/>
        <w:spacing w:lineRule="atLeast" w:line="240"/>
        <w:jc w:val="start"/>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Arial">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Fonts w:ascii="Times New Roman" w:hAnsi="Times New Roman"/>
      </w:rPr>
      <w:fldChar w:fldCharType="begin"/>
    </w:r>
    <w:r>
      <w:rPr>
        <w:rFonts w:ascii="Times New Roman" w:hAnsi="Times New Roman"/>
      </w:rPr>
      <w:instrText xml:space="preserve"> FILENAME \p </w:instrText>
    </w:r>
    <w:r>
      <w:rPr>
        <w:rFonts w:ascii="Times New Roman" w:hAnsi="Times New Roman"/>
      </w:rPr>
      <w:fldChar w:fldCharType="separate"/>
    </w:r>
    <w:r>
      <w:rPr>
        <w:rFonts w:ascii="Times New Roman" w:hAnsi="Times New Roman"/>
      </w:rPr>
      <w:t>/mnt/main-storage/datasets/enron-docs/doc/DYN_ENRON_MSTR_NET_11_8_FINAL_A_RED.DOC</w:t>
    </w:r>
    <w:r>
      <w:rPr>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Fonts w:ascii="Times New Roman" w:hAnsi="Times New Roman"/>
      </w:rPr>
      <w:fldChar w:fldCharType="begin"/>
    </w:r>
    <w:r>
      <w:rPr>
        <w:rFonts w:ascii="Times New Roman" w:hAnsi="Times New Roman"/>
      </w:rPr>
      <w:instrText xml:space="preserve"> FILENAME \p </w:instrText>
    </w:r>
    <w:r>
      <w:rPr>
        <w:rFonts w:ascii="Times New Roman" w:hAnsi="Times New Roman"/>
      </w:rPr>
      <w:fldChar w:fldCharType="separate"/>
    </w:r>
    <w:r>
      <w:rPr>
        <w:rFonts w:ascii="Times New Roman" w:hAnsi="Times New Roman"/>
      </w:rPr>
      <w:t>/mnt/main-storage/datasets/enron-docs/doc/DYN_ENRON_MSTR_NET_11_8_FINAL_A_RED.DOC</w:t>
    </w:r>
    <w:r>
      <w:rPr>
        <w:rFonts w:ascii="Times New Roman" w:hAnsi="Times New Roman"/>
      </w:rPr>
      <w:fldChar w:fldCharType="end"/>
    </w:r>
  </w:p>
</w:ft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keepNext w:val="true"/>
      <w:jc w:val="both"/>
    </w:pPr>
    <w:rPr>
      <w:b/>
      <w:sz w:val="22"/>
    </w:rPr>
  </w:style>
  <w:style w:type="paragraph" w:styleId="Heading2">
    <w:name w:val="heading 2"/>
    <w:basedOn w:val="Heading"/>
    <w:qFormat/>
    <w:pPr>
      <w:keepNext w:val="true"/>
      <w:spacing w:before="240" w:after="60"/>
    </w:pPr>
    <w:rPr>
      <w:rFonts w:ascii="Arial" w:hAnsi="Arial"/>
      <w:b/>
      <w:i/>
      <w:sz w:val="28"/>
    </w:rPr>
  </w:style>
  <w:style w:type="character" w:styleId="DefaultParagraphFont">
    <w:name w:val="Default Paragraph Font"/>
    <w:qFormat/>
    <w:rPr>
      <w:sz w:val="20"/>
    </w:rPr>
  </w:style>
  <w:style w:type="character" w:styleId="PageNumber">
    <w:name w:val="page number"/>
    <w:basedOn w:val="DefaultParagraphFont"/>
    <w:rPr/>
  </w:style>
  <w:style w:type="character" w:styleId="DeltaViewInsertion">
    <w:name w:val="DeltaView Insertion"/>
    <w:qFormat/>
    <w:rPr>
      <w:b/>
      <w:color w:val="00007F"/>
      <w:sz w:val="20"/>
      <w:u w:val="double"/>
    </w:rPr>
  </w:style>
  <w:style w:type="character" w:styleId="CommentReference">
    <w:name w:val="Comment Reference"/>
    <w:basedOn w:val="DefaultParagraphFont"/>
    <w:qFormat/>
    <w:rPr>
      <w:sz w:val="16"/>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2">
    <w:name w:val="OmniPage #2"/>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3">
    <w:name w:val="OmniPage #3"/>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4">
    <w:name w:val="OmniPage #4"/>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5">
    <w:name w:val="OmniPage #5"/>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OmniPage6">
    <w:name w:val="OmniPage #6"/>
    <w:qFormat/>
    <w:pPr>
      <w:widowControl w:val="false"/>
      <w:bidi w:val="0"/>
    </w:pPr>
    <w:rPr>
      <w:rFonts w:ascii="Liberation Serif" w:hAnsi="Liberation Serif" w:eastAsia="Liberation Sans" w:cs="NotoSans NF"/>
      <w:color w:val="auto"/>
      <w:kern w:val="2"/>
      <w:sz w:val="20"/>
      <w:szCs w:val="24"/>
      <w:lang w:val="en-CA" w:eastAsia="zh-CN" w:bidi="hi-IN"/>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z w:val="20"/>
    </w:rPr>
  </w:style>
  <w:style w:type="paragraph" w:styleId="Footer">
    <w:name w:val="footer"/>
    <w:basedOn w:val="HeaderandFooter"/>
    <w:pPr>
      <w:tabs>
        <w:tab w:val="clear" w:pos="720"/>
        <w:tab w:val="center" w:pos="4320" w:leader="none"/>
        <w:tab w:val="right" w:pos="8640" w:leader="none"/>
      </w:tabs>
    </w:pPr>
    <w:rPr>
      <w:sz w:val="20"/>
    </w:rPr>
  </w:style>
  <w:style w:type="paragraph" w:styleId="BodyTextIndent">
    <w:name w:val="Body Text Indent"/>
    <w:basedOn w:val="BodyText"/>
    <w:pPr>
      <w:ind w:firstLine="720"/>
      <w:jc w:val="both"/>
    </w:pPr>
    <w:rPr>
      <w:rFonts w:ascii="Arial" w:hAnsi="Arial"/>
      <w:sz w:val="20"/>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 w:type="paragraph" w:styleId="BodyText2">
    <w:name w:val="Body Text 2"/>
    <w:qFormat/>
    <w:pPr>
      <w:widowControl w:val="false"/>
      <w:bidi w:val="0"/>
      <w:jc w:val="both"/>
    </w:pPr>
    <w:rPr>
      <w:rFonts w:ascii="Liberation Serif" w:hAnsi="Liberation Serif" w:eastAsia="Liberation Sans" w:cs="NotoSans NF"/>
      <w:color w:val="auto"/>
      <w:kern w:val="2"/>
      <w:sz w:val="22"/>
      <w:szCs w:val="24"/>
      <w:lang w:val="en-CA" w:eastAsia="zh-CN" w:bidi="hi-IN"/>
    </w:rPr>
  </w:style>
  <w:style w:type="paragraph" w:styleId="BodyMainBM">
    <w:name w:val="Body Main,BM"/>
    <w:qFormat/>
    <w:pPr>
      <w:widowControl w:val="false"/>
      <w:bidi w:val="0"/>
      <w:spacing w:before="240" w:after="0"/>
      <w:ind w:firstLine="1440"/>
      <w:jc w:val="both"/>
    </w:pPr>
    <w:rPr>
      <w:rFonts w:ascii="Liberation Serif" w:hAnsi="Liberation Serif" w:eastAsia="Liberation Sans" w:cs="NotoSans NF"/>
      <w:color w:val="auto"/>
      <w:kern w:val="2"/>
      <w:sz w:val="24"/>
      <w:szCs w:val="24"/>
      <w:lang w:val="en-CA" w:eastAsia="zh-CN" w:bidi="hi-IN"/>
    </w:rPr>
  </w:style>
  <w:style w:type="paragraph" w:styleId="BodyTextFirstIndent5">
    <w:name w:val="Body Text First Indent,(.5&quot;)"/>
    <w:basedOn w:val="BodyText"/>
    <w:qFormat/>
    <w:pPr>
      <w:spacing w:before="0" w:after="240"/>
      <w:ind w:firstLine="720"/>
      <w:jc w:val="both"/>
    </w:pPr>
    <w:rPr/>
  </w:style>
  <w:style w:type="paragraph" w:styleId="Standard3L1">
    <w:name w:val="Standard3_L1"/>
    <w:qFormat/>
    <w:pPr>
      <w:widowControl w:val="false"/>
      <w:bidi w:val="0"/>
      <w:spacing w:before="0" w:after="240"/>
      <w:ind w:firstLine="720"/>
      <w:jc w:val="both"/>
    </w:pPr>
    <w:rPr>
      <w:rFonts w:ascii="Liberation Serif" w:hAnsi="Liberation Serif" w:eastAsia="Liberation Sans" w:cs="NotoSans NF"/>
      <w:color w:val="auto"/>
      <w:kern w:val="2"/>
      <w:sz w:val="24"/>
      <w:szCs w:val="24"/>
      <w:lang w:val="en-CA" w:eastAsia="zh-CN" w:bidi="hi-IN"/>
    </w:rPr>
  </w:style>
  <w:style w:type="paragraph" w:styleId="Standard3L2">
    <w:name w:val="Standard3_L2"/>
    <w:basedOn w:val="Standard3L1"/>
    <w:qFormat/>
    <w:pPr>
      <w:tabs>
        <w:tab w:val="clear" w:pos="720"/>
        <w:tab w:val="left" w:pos="360" w:leader="none"/>
        <w:tab w:val="left" w:pos="1440" w:leader="none"/>
      </w:tabs>
      <w:spacing w:before="0" w:after="240"/>
      <w:ind w:hanging="720" w:start="1440"/>
      <w:jc w:val="both"/>
    </w:pPr>
    <w:rPr/>
  </w:style>
  <w:style w:type="paragraph" w:styleId="Standard3L3">
    <w:name w:val="Standard3_L3"/>
    <w:basedOn w:val="Standard3L2"/>
    <w:qFormat/>
    <w:pPr>
      <w:spacing w:before="0" w:after="240"/>
      <w:ind w:hanging="720" w:start="1440"/>
      <w:jc w:val="both"/>
    </w:pPr>
    <w:rPr/>
  </w:style>
  <w:style w:type="paragraph" w:styleId="Standard3L4">
    <w:name w:val="Standard3_L4"/>
    <w:basedOn w:val="Standard3L3"/>
    <w:qFormat/>
    <w:pPr>
      <w:spacing w:before="0" w:after="240"/>
      <w:ind w:hanging="720" w:start="1440"/>
      <w:jc w:val="both"/>
    </w:pPr>
    <w:rPr/>
  </w:style>
  <w:style w:type="paragraph" w:styleId="Standard3L5">
    <w:name w:val="Standard3_L5"/>
    <w:basedOn w:val="Standard3L4"/>
    <w:qFormat/>
    <w:pPr>
      <w:spacing w:before="0" w:after="240"/>
      <w:ind w:hanging="720" w:start="1440"/>
      <w:jc w:val="both"/>
    </w:pPr>
    <w:rPr/>
  </w:style>
  <w:style w:type="paragraph" w:styleId="Standard3L6">
    <w:name w:val="Standard3_L6"/>
    <w:basedOn w:val="Standard3L5"/>
    <w:qFormat/>
    <w:pPr>
      <w:spacing w:before="0" w:after="240"/>
      <w:ind w:hanging="720" w:start="1440"/>
      <w:jc w:val="both"/>
    </w:pPr>
    <w:rPr/>
  </w:style>
  <w:style w:type="paragraph" w:styleId="Standard3L7">
    <w:name w:val="Standard3_L7"/>
    <w:basedOn w:val="Standard3L6"/>
    <w:qFormat/>
    <w:pPr>
      <w:spacing w:before="0" w:after="240"/>
      <w:ind w:hanging="720" w:start="1440"/>
      <w:jc w:val="both"/>
    </w:pPr>
    <w:rPr/>
  </w:style>
  <w:style w:type="paragraph" w:styleId="Standard3L8">
    <w:name w:val="Standard3_L8"/>
    <w:basedOn w:val="Standard3L7"/>
    <w:qFormat/>
    <w:pPr>
      <w:spacing w:before="0" w:after="240"/>
      <w:ind w:hanging="720" w:start="1440"/>
      <w:jc w:val="both"/>
    </w:pPr>
    <w:rPr/>
  </w:style>
  <w:style w:type="paragraph" w:styleId="Standard3L9">
    <w:name w:val="Standard3_L9"/>
    <w:basedOn w:val="Standard3L8"/>
    <w:qFormat/>
    <w:pPr>
      <w:spacing w:before="0" w:after="240"/>
      <w:ind w:hanging="720" w:start="1440"/>
      <w:jc w:val="both"/>
    </w:pPr>
    <w:rPr/>
  </w:style>
  <w:style w:type="paragraph" w:styleId="CommentText">
    <w:name w:val="Comment Text"/>
    <w:qFormat/>
    <w:pPr>
      <w:widowControl w:val="false"/>
      <w:bidi w:val="0"/>
    </w:pPr>
    <w:rPr>
      <w:rFonts w:ascii="Liberation Serif" w:hAnsi="Liberation Serif" w:eastAsia="Liberation Sans" w:cs="NotoSans NF"/>
      <w:color w:val="auto"/>
      <w:kern w:val="2"/>
      <w:sz w:val="20"/>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6200</Words>
  <CharactersWithSpaces>35340</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2001-11-08T18:30:00Z</dcterms:created>
  <dc:creator>mcook</dc:creator>
  <dc:description/>
  <dc:language>en-CA</dc:language>
  <cp:lastModifiedBy/>
  <cp:lastPrinted>2001-11-08T19:48:00Z</cp:lastPrinted>
  <dcterms:modified xsi:type="dcterms:W3CDTF">2001-11-08T20:01:00Z</dcterms:modified>
  <cp:revision>7</cp:revision>
  <dc:subject/>
  <dc:title>MASTER CROSS?PRODUCT NETTING AND SECURITY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