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(ENA and EPMI are collectively known as “Enron”), Dynegy Marketing &amp; Trade (“Dynegy Marketing”) and Dynegy Power Marketing, Inc. (“Dynegy Power”) (Dynegy Marketing and Dynegy Power are collectively known as “Dynegy”) effective as of ____________, 2001.  </w:t>
      </w:r>
    </w:p>
    <w:p>
      <w:pPr>
        <w:pStyle w:val="Normal"/>
        <w:rPr/>
      </w:pPr>
      <w:r>
        <w:rPr/>
      </w:r>
    </w:p>
    <w:p>
      <w:pPr>
        <w:pStyle w:val="Normal"/>
        <w:rPr/>
      </w:pPr>
      <w:r>
        <w:rPr/>
        <w:t>WHEREAS, ENA and Dynegy Marketing have entered into that certain ISDA Master Agreement (the “ISDA Master”) dated effective as of November 1, 2000, and ENA and Dynegy Marketing have entered into that certain Master Firm Purchase/Sale Agreement dated effective as of July 1, 1993 (the “Gas Master”), and EPMI and Dynegy Power have entered into that certain Master Energy Purchase and Sale Agreement dated</w:t>
      </w:r>
      <w:r>
        <w:rPr>
          <w:b/>
          <w:bCs/>
        </w:rPr>
        <w:t xml:space="preserve"> </w:t>
      </w:r>
      <w:r>
        <w:rPr/>
        <w:t>as of February 1, 1999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Enron has entered into, and expects to enter into in the future, transactions from time to time using the Dynegy</w:t>
      </w:r>
      <w:r>
        <w:rPr>
          <w:i/>
          <w:iCs/>
        </w:rPr>
        <w:t>direct</w:t>
      </w:r>
      <w:r>
        <w:rPr/>
        <w:t xml:space="preserve"> trading system (“Dynegy</w:t>
      </w:r>
      <w:r>
        <w:rPr>
          <w:i/>
          <w:iCs/>
        </w:rPr>
        <w:t>direct</w:t>
      </w:r>
      <w:r>
        <w:rPr/>
        <w:t>”), each of which transactions is governed by one of the Governing Agreements (each an “Dynegy</w:t>
      </w:r>
      <w:r>
        <w:rPr>
          <w:i/>
          <w:iCs/>
        </w:rPr>
        <w:t>ydirect</w:t>
      </w:r>
      <w:r>
        <w:rPr/>
        <w:t xml:space="preserve"> Transaction” and collectively the “Dynegy</w:t>
      </w:r>
      <w:r>
        <w:rPr>
          <w:i/>
          <w:iCs/>
        </w:rPr>
        <w:t>ydirect</w:t>
      </w:r>
      <w:r>
        <w:rPr/>
        <w:t xml:space="preserve"> Transactions”); and</w:t>
      </w:r>
    </w:p>
    <w:p>
      <w:pPr>
        <w:pStyle w:val="Normal"/>
        <w:rPr/>
      </w:pPr>
      <w:r>
        <w:rPr/>
      </w:r>
    </w:p>
    <w:p>
      <w:pPr>
        <w:pStyle w:val="Normal"/>
        <w:rPr/>
      </w:pPr>
      <w:r>
        <w:rPr/>
        <w:t>WHEREAS, Dynegy and Enron now desire to amend the Governing Agreements to provide that it is not necessary to confirm the Dynegy</w:t>
      </w:r>
      <w:r>
        <w:rPr>
          <w:i/>
          <w:iCs/>
        </w:rPr>
        <w:t>ydirect</w:t>
      </w:r>
      <w:r>
        <w:rPr/>
        <w:t xml:space="preserve">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Dynegy and Enron agree as follows:</w:t>
      </w:r>
    </w:p>
    <w:p>
      <w:pPr>
        <w:pStyle w:val="Normal"/>
        <w:rPr/>
      </w:pPr>
      <w:r>
        <w:rPr/>
      </w:r>
    </w:p>
    <w:p>
      <w:pPr>
        <w:pStyle w:val="Normal"/>
        <w:numPr>
          <w:ilvl w:val="0"/>
          <w:numId w:val="2"/>
        </w:numPr>
        <w:rPr/>
      </w:pPr>
      <w:r>
        <w:rPr/>
        <w:t>Each Governing Agreement is hereby amended in such a manner and to the extent necessary to provide that when entering into an Dynegy</w:t>
      </w:r>
      <w:r>
        <w:rPr>
          <w:i/>
          <w:iCs/>
        </w:rPr>
        <w:t>ydirect</w:t>
      </w:r>
      <w:r>
        <w:rPr/>
        <w:t xml:space="preserve"> Transaction:</w:t>
      </w:r>
    </w:p>
    <w:p>
      <w:pPr>
        <w:pStyle w:val="Normal"/>
        <w:rPr/>
      </w:pPr>
      <w:r>
        <w:rPr/>
      </w:r>
    </w:p>
    <w:p>
      <w:pPr>
        <w:pStyle w:val="Normal"/>
        <w:numPr>
          <w:ilvl w:val="1"/>
          <w:numId w:val="2"/>
        </w:numPr>
        <w:rPr/>
      </w:pPr>
      <w:r>
        <w:rPr/>
        <w:t>neither party is required to send to the other a confirmation of any Dynegy</w:t>
      </w:r>
      <w:r>
        <w:rPr>
          <w:i/>
          <w:iCs/>
        </w:rPr>
        <w:t>ydirect</w:t>
      </w:r>
      <w:r>
        <w:rPr/>
        <w:t xml:space="preserve"> Transaction, and failure to send a confirmation of an Dynegy</w:t>
      </w:r>
      <w:r>
        <w:rPr>
          <w:i/>
          <w:iCs/>
        </w:rPr>
        <w:t>ydirect</w:t>
      </w:r>
      <w:r>
        <w:rPr/>
        <w:t xml:space="preserve"> Transaction shall not constitute a default or have any other ramification under the Governing Agreements;</w:t>
      </w:r>
    </w:p>
    <w:p>
      <w:pPr>
        <w:pStyle w:val="Normal"/>
        <w:numPr>
          <w:ilvl w:val="1"/>
          <w:numId w:val="2"/>
        </w:numPr>
        <w:rPr/>
      </w:pPr>
      <w:r>
        <w:rPr/>
        <w:t>Dynegy</w:t>
      </w:r>
      <w:r>
        <w:rPr>
          <w:i/>
          <w:iCs/>
        </w:rPr>
        <w:t>ydirect</w:t>
      </w:r>
      <w:r>
        <w:rPr/>
        <w:t xml:space="preserve">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2"/>
        </w:numPr>
        <w:rPr/>
      </w:pPr>
      <w:r>
        <w:rPr/>
        <w:t>the electronic records of Dynegy</w:t>
      </w:r>
      <w:r>
        <w:rPr>
          <w:i/>
          <w:iCs/>
        </w:rPr>
        <w:t>ydirect</w:t>
      </w:r>
      <w:r>
        <w:rPr/>
        <w:t xml:space="preserve"> Transactions available on Dynegy</w:t>
      </w:r>
      <w:r>
        <w:rPr>
          <w:i/>
          <w:iCs/>
        </w:rPr>
        <w:t>ydirect</w:t>
      </w:r>
      <w:r>
        <w:rPr/>
        <w:t xml:space="preserve"> shall supplement, form a part of and be subject to the terms of the applicable Governing Agreement.</w:t>
      </w:r>
    </w:p>
    <w:p>
      <w:pPr>
        <w:pStyle w:val="Normal"/>
        <w:rPr/>
      </w:pPr>
      <w:r>
        <w:rPr/>
      </w:r>
    </w:p>
    <w:p>
      <w:pPr>
        <w:pStyle w:val="Normal"/>
        <w:numPr>
          <w:ilvl w:val="0"/>
          <w:numId w:val="2"/>
        </w:numPr>
        <w:rPr/>
      </w:pPr>
      <w:r>
        <w:rPr/>
        <w:t>The Governing Agreements are further amended as provided in the Annexes attached hereto.</w:t>
      </w:r>
    </w:p>
    <w:p>
      <w:pPr>
        <w:pStyle w:val="Normal"/>
        <w:rPr/>
      </w:pPr>
      <w:r>
        <w:rPr/>
      </w:r>
    </w:p>
    <w:p>
      <w:pPr>
        <w:pStyle w:val="Normal"/>
        <w:numPr>
          <w:ilvl w:val="0"/>
          <w:numId w:val="2"/>
        </w:numPr>
        <w:rPr/>
      </w:pPr>
      <w:r>
        <w:rPr/>
        <w:t>Each of Dynegy and Enron consents to the introduction into evidence of the records of the Dynegy</w:t>
      </w:r>
      <w:r>
        <w:rPr>
          <w:i/>
          <w:iCs/>
        </w:rPr>
        <w:t>ydirect</w:t>
      </w:r>
      <w:r>
        <w:rPr/>
        <w:t xml:space="preserve"> Transactions maintained on Dynegy</w:t>
      </w:r>
      <w:r>
        <w:rPr>
          <w:i/>
          <w:iCs/>
        </w:rPr>
        <w:t>ydirect</w:t>
      </w:r>
      <w:r>
        <w:rPr/>
        <w:t xml:space="preserve"> and waives any right to object to such records as not being in writing or constituting a writing.  Electronic Dynegy</w:t>
      </w:r>
      <w:r>
        <w:rPr>
          <w:i/>
          <w:iCs/>
        </w:rPr>
        <w:t>ydirect</w:t>
      </w:r>
      <w:r>
        <w:rPr/>
        <w:t xml:space="preserve">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Dynegy</w:t>
      </w:r>
      <w:r>
        <w:rPr>
          <w:i/>
          <w:iCs/>
        </w:rPr>
        <w:t>ydirect</w:t>
      </w:r>
      <w:r>
        <w:rPr/>
        <w:t xml:space="preserve">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2"/>
        </w:numPr>
        <w:rPr/>
      </w:pPr>
      <w:r>
        <w:rPr/>
        <w:t>Except as expressly provided herein, the Governing Agreements are not otherwise modified or amended.  In particular, the confirmation process, if any, with respect to transactions other than Dynegy</w:t>
      </w:r>
      <w:r>
        <w:rPr>
          <w:i/>
          <w:iCs/>
        </w:rPr>
        <w:t>ydirect</w:t>
      </w:r>
      <w:r>
        <w:rPr/>
        <w:t xml:space="preserve"> Transactions remains unchanged.</w:t>
      </w:r>
    </w:p>
    <w:p>
      <w:pPr>
        <w:pStyle w:val="Normal"/>
        <w:rPr/>
      </w:pPr>
      <w:r>
        <w:rPr/>
      </w:r>
    </w:p>
    <w:p>
      <w:pPr>
        <w:pStyle w:val="Normal"/>
        <w:numPr>
          <w:ilvl w:val="0"/>
          <w:numId w:val="2"/>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DYNEGY MARKETING &amp; TRADE</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DYNEGY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r>
        <w:br w:type="page"/>
      </w:r>
    </w:p>
    <w:p>
      <w:pPr>
        <w:pStyle w:val="Normal"/>
        <w:jc w:val="center"/>
        <w:rPr>
          <w:b/>
          <w:bCs/>
          <w:u w:val="single"/>
        </w:rPr>
      </w:pPr>
      <w:r>
        <w:rPr>
          <w:b/>
          <w:bCs/>
          <w:u w:val="single"/>
        </w:rPr>
        <w:t>Annex A</w:t>
      </w:r>
    </w:p>
    <w:p>
      <w:pPr>
        <w:pStyle w:val="Normal"/>
        <w:jc w:val="center"/>
        <w:rPr>
          <w:b/>
          <w:bCs/>
          <w:u w:val="single"/>
        </w:rPr>
      </w:pPr>
      <w:r>
        <w:rPr>
          <w:b/>
          <w:bCs/>
          <w:u w:val="single"/>
        </w:rPr>
      </w:r>
    </w:p>
    <w:p>
      <w:pPr>
        <w:pStyle w:val="Normal"/>
        <w:numPr>
          <w:ilvl w:val="0"/>
          <w:numId w:val="3"/>
        </w:numPr>
        <w:jc w:val="both"/>
        <w:rPr/>
      </w:pPr>
      <w:r>
        <w:rPr/>
        <w:t>With respect to the sales of Power between Dynegy Power and EPMI pursuant to a Dynegy</w:t>
      </w:r>
      <w:r>
        <w:rPr>
          <w:i/>
          <w:iCs/>
        </w:rPr>
        <w:t>direct</w:t>
      </w:r>
      <w:r>
        <w:rPr/>
        <w:t xml:space="preserve"> Transaction, the following additional terms shall apply and be incorporated in each such Dynegy</w:t>
      </w:r>
      <w:r>
        <w:rPr>
          <w:i/>
          <w:iCs/>
        </w:rPr>
        <w:t>direct</w:t>
      </w:r>
      <w:r>
        <w:rPr/>
        <w:t xml:space="preserve"> Transaction:</w:t>
      </w:r>
    </w:p>
    <w:p>
      <w:pPr>
        <w:pStyle w:val="Normal"/>
        <w:ind w:start="360" w:end="0"/>
        <w:jc w:val="both"/>
        <w:rPr/>
      </w:pPr>
      <w:r>
        <w:rPr/>
      </w:r>
    </w:p>
    <w:p>
      <w:pPr>
        <w:pStyle w:val="Normal"/>
        <w:numPr>
          <w:ilvl w:val="0"/>
          <w:numId w:val="1"/>
        </w:numPr>
        <w:jc w:val="both"/>
        <w:rPr/>
      </w:pPr>
      <w:r>
        <w:rPr/>
        <w:t>Definitions</w:t>
      </w:r>
    </w:p>
    <w:p>
      <w:pPr>
        <w:pStyle w:val="Normal"/>
        <w:ind w:start="360" w:end="0"/>
        <w:jc w:val="both"/>
        <w:rPr/>
      </w:pPr>
      <w:r>
        <w:rPr/>
      </w:r>
    </w:p>
    <w:p>
      <w:pPr>
        <w:pStyle w:val="Normal"/>
        <w:numPr>
          <w:ilvl w:val="1"/>
          <w:numId w:val="1"/>
        </w:numPr>
        <w:jc w:val="both"/>
        <w:rPr/>
      </w:pPr>
      <w:r>
        <w:rPr/>
        <w:t>“</w:t>
      </w:r>
      <w:r>
        <w:rPr/>
        <w:t>Business Day” shall have the meaning set forth for such term in the Power Master or the Commodity Definitions (as defined in Section 8), as applicable.  In the absence thereof, “Business Day” shall mean any day, except a Saturday, Sunday or a Federal Reserve Bank holiday,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1080" w:end="0"/>
        <w:rPr/>
      </w:pPr>
      <w:r>
        <w:rPr/>
      </w:r>
    </w:p>
    <w:p>
      <w:pPr>
        <w:pStyle w:val="BodyText2"/>
        <w:numPr>
          <w:ilvl w:val="1"/>
          <w:numId w:val="1"/>
        </w:numPr>
        <w:rPr/>
      </w:pPr>
      <w:r>
        <w:rPr/>
        <w:t>“</w:t>
      </w:r>
      <w:r>
        <w:rPr/>
        <w:t>Delivery Day” shall mean a day specified within ConfirmLogic during the period of delivery for the Commodity Transaction.</w:t>
      </w:r>
    </w:p>
    <w:p>
      <w:pPr>
        <w:pStyle w:val="BodyText2"/>
        <w:rPr/>
      </w:pPr>
      <w:r>
        <w:rPr/>
      </w:r>
    </w:p>
    <w:p>
      <w:pPr>
        <w:pStyle w:val="BodyText2"/>
        <w:numPr>
          <w:ilvl w:val="1"/>
          <w:numId w:val="1"/>
        </w:numPr>
        <w:rPr/>
      </w:pPr>
      <w:r>
        <w:rPr/>
        <w:t>“</w:t>
      </w:r>
      <w:r>
        <w:rPr/>
        <w:t xml:space="preserve">Interest Rate” shall have the meaning set forth for such term in the Power Master or the [ISDA] Master, as applicable.  In the absence thereof, “Interest Rate” shall mean for any date, the lesser of (a) the per annum rate of interest equal to the prime lending rate as may from time to time be published in </w:t>
      </w:r>
      <w:r>
        <w:rPr>
          <w:i/>
          <w:iCs/>
        </w:rPr>
        <w:t>The Wall Street Journal</w:t>
      </w:r>
      <w:r>
        <w:rPr/>
        <w:t xml:space="preserve"> under “Money Rates” on such day (or if not published on such day on the most recent preceding day on which published), plus two percent (2%) and (b) the maximum rate permitted by applicable law.</w:t>
      </w:r>
    </w:p>
    <w:p>
      <w:pPr>
        <w:pStyle w:val="BodyText2"/>
        <w:rPr/>
      </w:pPr>
      <w:r>
        <w:rPr/>
      </w:r>
    </w:p>
    <w:p>
      <w:pPr>
        <w:pStyle w:val="BodyText2"/>
        <w:numPr>
          <w:ilvl w:val="1"/>
          <w:numId w:val="1"/>
        </w:numPr>
        <w:rPr/>
      </w:pPr>
      <w:r>
        <w:rPr/>
        <w:t>“</w:t>
      </w:r>
      <w:r>
        <w:rPr/>
        <w:t>NERC Business Day” shall have the meaning set forth for such term in the Power Master.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Normal"/>
        <w:ind w:start="360" w:end="0"/>
        <w:jc w:val="both"/>
        <w:rPr/>
      </w:pPr>
      <w:r>
        <w:rPr/>
      </w:r>
    </w:p>
    <w:p>
      <w:pPr>
        <w:pStyle w:val="Normal"/>
        <w:numPr>
          <w:ilvl w:val="0"/>
          <w:numId w:val="1"/>
        </w:numPr>
        <w:jc w:val="both"/>
        <w:rPr/>
      </w:pPr>
      <w:r>
        <w:rPr/>
        <w:t>Product Definitions:</w:t>
      </w:r>
    </w:p>
    <w:p>
      <w:pPr>
        <w:pStyle w:val="Normal"/>
        <w:ind w:start="360" w:end="0"/>
        <w:jc w:val="both"/>
        <w:rPr/>
      </w:pPr>
      <w:r>
        <w:rPr/>
      </w:r>
    </w:p>
    <w:p>
      <w:pPr>
        <w:pStyle w:val="Normal"/>
        <w:numPr>
          <w:ilvl w:val="1"/>
          <w:numId w:val="1"/>
        </w:numPr>
        <w:jc w:val="both"/>
        <w:rPr/>
      </w:pPr>
      <w:r>
        <w:rPr/>
        <w:t>“</w:t>
      </w:r>
      <w:r>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1080" w:end="0"/>
        <w:jc w:val="both"/>
        <w:rPr/>
      </w:pPr>
      <w:r>
        <w:rPr/>
      </w:r>
    </w:p>
    <w:p>
      <w:pPr>
        <w:pStyle w:val="Normal"/>
        <w:numPr>
          <w:ilvl w:val="1"/>
          <w:numId w:val="1"/>
        </w:numPr>
        <w:jc w:val="both"/>
        <w:rPr/>
      </w:pPr>
      <w:r>
        <w:rPr>
          <w:szCs w:val="20"/>
        </w:rPr>
        <w:t>“</w:t>
      </w:r>
      <w:r>
        <w:rPr>
          <w:szCs w:val="20"/>
        </w:rPr>
        <w:t xml:space="preserve">Firm (LD) Energy” </w:t>
      </w:r>
      <w:r>
        <w:rPr/>
        <w:t xml:space="preserve">means with respect to a Transaction, a product under which the Seller shall sell and the Buyer shall purchase a quantity of energy equal to the hourly quantity </w:t>
      </w:r>
      <w:r>
        <w:rPr>
          <w:szCs w:val="20"/>
        </w:rPr>
        <w:t>in accordance with the terms of the “Firm (LD)” definition in Schedule P of the Edison Electric Institute Master Power Purchase and Sale Agreement Version 2.1 (modified 4/25/00), including, without limitation, any defined terms contained therein, notwithstanding anything to the contrary in the master agreement, if any, that governs the Transaction.</w:t>
      </w:r>
    </w:p>
    <w:p>
      <w:pPr>
        <w:pStyle w:val="Normal"/>
        <w:ind w:start="1080" w:end="0"/>
        <w:jc w:val="both"/>
        <w:rPr/>
      </w:pPr>
      <w:r>
        <w:rPr/>
      </w:r>
    </w:p>
    <w:p>
      <w:pPr>
        <w:pStyle w:val="Normal"/>
        <w:numPr>
          <w:ilvl w:val="1"/>
          <w:numId w:val="1"/>
        </w:numPr>
        <w:jc w:val="both"/>
        <w:rPr/>
      </w:pPr>
      <w:r>
        <w:rPr/>
        <w:t>“</w:t>
      </w:r>
      <w:r>
        <w:rPr/>
        <w:t>Installed Capability” means with respect to a Transaction, Installed Capability (subject to liquidated damages) eligible for ICAP credit toward meeting a Participant’s Installed Capability Responsibility (as such terms are defined in the Restated New England Power Pool Agreement in effect as of the trade date).</w:t>
      </w:r>
    </w:p>
    <w:p>
      <w:pPr>
        <w:pStyle w:val="Normal"/>
        <w:jc w:val="both"/>
        <w:rPr/>
      </w:pPr>
      <w:r>
        <w:rPr/>
      </w:r>
    </w:p>
    <w:p>
      <w:pPr>
        <w:pStyle w:val="Normal"/>
        <w:numPr>
          <w:ilvl w:val="1"/>
          <w:numId w:val="1"/>
        </w:numPr>
        <w:jc w:val="both"/>
        <w:rPr/>
      </w:pPr>
      <w:r>
        <w:rPr/>
        <w:t>“</w:t>
      </w:r>
      <w:r>
        <w:rPr/>
        <w:t>West Firm Energy”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the Power Agreement, if Seller exercises its right to interrupt to meet its public utility or statutory obligations, Seller shall be responsible for payment of damages for failure to deliver firm energy as provided in the applicable cover remedy section(s) of the Power Agreement or otherwise in this Agreement.  “WSPP Agreement" means the Western Systems Power Pool Agreement as amended from time to time.  “WSCC” means the Western Systems Coordinating Council.</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numPr>
          <w:ilvl w:val="0"/>
          <w:numId w:val="1"/>
        </w:numPr>
        <w:jc w:val="both"/>
        <w:rPr/>
      </w:pPr>
      <w:r>
        <w:rPr>
          <w:b/>
          <w:bCs/>
        </w:rPr>
        <w:t>Additional Delivery Point Language</w:t>
      </w:r>
      <w:r>
        <w:rPr/>
        <w:t xml:space="preserve">.  </w:t>
      </w:r>
    </w:p>
    <w:p>
      <w:pPr>
        <w:pStyle w:val="Normal"/>
        <w:ind w:start="360" w:end="0"/>
        <w:jc w:val="both"/>
        <w:rPr/>
      </w:pPr>
      <w:r>
        <w:rPr/>
      </w:r>
    </w:p>
    <w:p>
      <w:pPr>
        <w:pStyle w:val="Normal"/>
        <w:numPr>
          <w:ilvl w:val="1"/>
          <w:numId w:val="1"/>
        </w:numPr>
        <w:jc w:val="both"/>
        <w:rPr/>
      </w:pPr>
      <w:r>
        <w:rPr/>
        <w:t>ERCOT:  The Delivery Point for this transaction shall be any points within the Electric Reliability Council of Texas, Inc. (“ERCOT”) at Seller’s daily election.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ind w:start="1080" w:end="0"/>
        <w:jc w:val="both"/>
        <w:rPr/>
      </w:pPr>
      <w:r>
        <w:rPr/>
      </w:r>
    </w:p>
    <w:p>
      <w:pPr>
        <w:pStyle w:val="Normal"/>
        <w:numPr>
          <w:ilvl w:val="1"/>
          <w:numId w:val="1"/>
        </w:numPr>
        <w:jc w:val="both"/>
        <w:rPr/>
      </w:pPr>
      <w:r>
        <w:rPr/>
        <w:t>ERCOT North 2001 Zone:  The Delivery Point for this transaction shall be any points within the North 2001 Zone, as finalized pursuant to the action on April 17, 2001 by the Electric Reliability Council of Texas, Inc.</w:t>
      </w:r>
      <w:r>
        <w:rPr>
          <w:color w:val="000000"/>
        </w:rPr>
        <w:t xml:space="preserve"> </w:t>
      </w:r>
      <w:r>
        <w:rPr/>
        <w:t>("ERCOT") Board of Directors, at Seller’s daily election.  If such North 2001 Zone is superseded by a zone or zones of different boundaries, Seller shall nevertheless be required, unless otherwise agreed by the parties, to deliver the energy to any points within the geographical area coextensive with the originally defined North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1"/>
        </w:numPr>
        <w:jc w:val="both"/>
        <w:rPr/>
      </w:pPr>
      <w:r>
        <w:rPr/>
        <w:t>ERCOT South 2001 Zone:  The Delivery Point for this transaction shall be any points within the South 2001 Zone, as finalized pursuant to the action on April 17, 2001 by the Electric Reliability Council of Texas, Inc.</w:t>
      </w:r>
      <w:r>
        <w:rPr>
          <w:color w:val="000000"/>
        </w:rPr>
        <w:t xml:space="preserve"> </w:t>
      </w:r>
      <w:r>
        <w:rPr/>
        <w:t>("ERCOT") Board of Directors, at Seller’s daily election.  If such South 2001 Zone is superseded by a zone or zones of different boundaries, Seller shall nevertheless be required, unless otherwise agreed by the parties, to deliver the energy to any point within the geographical area coextensive with the originally defined South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1"/>
        </w:numPr>
        <w:jc w:val="both"/>
        <w:rPr/>
      </w:pPr>
      <w:r>
        <w:rPr/>
        <w:t>ERCOT West 2001 Zone:  The Delivery Point for this transaction shall be any points within the West 2001 Zone, as finalized pursuant to the action on April 17, 2001 by the Electric Reliability Council of Texas, Inc.</w:t>
      </w:r>
      <w:r>
        <w:rPr>
          <w:color w:val="000000"/>
        </w:rPr>
        <w:t xml:space="preserve"> </w:t>
      </w:r>
      <w:r>
        <w:rPr/>
        <w:t>("ERCOT") Board of Directors, at Seller’s daily election.  If such West 2001 Zone is superseded by a zone or zones of different boundaries, Seller shall nevertheless be required, unless otherwise agreed by the parties, to deliver the energy to any points within the geographical area coextensive with the originally defined West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1"/>
        </w:numPr>
        <w:jc w:val="both"/>
        <w:rPr>
          <w:u w:val="single"/>
          <w:lang w:val="en-CA" w:eastAsia="en-CA"/>
        </w:rPr>
      </w:pPr>
      <w:r>
        <w:rPr/>
        <w:fldChar w:fldCharType="begin"/>
      </w:r>
      <w:r>
        <w:rPr/>
        <w:instrText xml:space="preserve"> MERGEFIELD DeliveryPoint </w:instrText>
      </w:r>
      <w:r>
        <w:rPr/>
        <w:fldChar w:fldCharType="separate"/>
      </w:r>
      <w:r>
        <w:rPr/>
        <w:t>NEPOOL PTF: The Delivery Point for this transaction shall be NEPOOL PTF, provided that at and after the date a system of locational marginal pricing goes into effect within the NEPOOL control area (anticipated to occur no sooner than January 1, 2003), the delivery point shall be any point(s) within the NEPOOL control area (as such NEPOOL control area is configured as of the trade date) as selected by Seller on a daily prescheduled basis.</w:t>
      </w:r>
      <w:r>
        <w:rPr/>
        <w:fldChar w:fldCharType="end"/>
      </w:r>
    </w:p>
    <w:p>
      <w:pPr>
        <w:pStyle w:val="Normal"/>
        <w:jc w:val="both"/>
        <w:rPr>
          <w:u w:val="single"/>
          <w:lang w:val="en-CA" w:eastAsia="en-CA"/>
        </w:rPr>
      </w:pPr>
      <w:r>
        <w:rPr>
          <w:u w:val="single"/>
          <w:lang w:val="en-CA" w:eastAsia="en-CA"/>
        </w:rPr>
      </w:r>
    </w:p>
    <w:p>
      <w:pPr>
        <w:pStyle w:val="Normal"/>
        <w:numPr>
          <w:ilvl w:val="1"/>
          <w:numId w:val="1"/>
        </w:numPr>
        <w:jc w:val="both"/>
        <w:rPr/>
      </w:pPr>
      <w:r>
        <w:rPr>
          <w:u w:val="single"/>
        </w:rPr>
        <w:fldChar w:fldCharType="begin"/>
      </w:r>
      <w:r>
        <w:rPr>
          <w:u w:val="single"/>
        </w:rPr>
        <w:instrText xml:space="preserve"> MERGEFIELD ScheduleLanguage </w:instrText>
      </w:r>
      <w:r>
        <w:rPr>
          <w:u w:val="single"/>
        </w:rPr>
        <w:fldChar w:fldCharType="separate"/>
      </w:r>
      <w:r>
        <w:rPr>
          <w:u w:val="single"/>
        </w:rPr>
        <w:t>PJM Western Hub:  The Delivery Point for this transaction shall be the PJM Western Hub.  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u w:val="single"/>
        </w:rPr>
        <w:fldChar w:fldCharType="end"/>
      </w:r>
    </w:p>
    <w:p>
      <w:pPr>
        <w:pStyle w:val="Normal"/>
        <w:jc w:val="both"/>
        <w:rPr/>
      </w:pPr>
      <w:r>
        <w:rPr/>
      </w:r>
    </w:p>
    <w:p>
      <w:pPr>
        <w:pStyle w:val="Normal"/>
        <w:numPr>
          <w:ilvl w:val="1"/>
          <w:numId w:val="1"/>
        </w:numPr>
        <w:jc w:val="both"/>
        <w:rPr>
          <w:lang w:val="en-CA" w:eastAsia="en-CA"/>
        </w:rPr>
      </w:pPr>
      <w:r>
        <w:rPr>
          <w:lang w:val="en-CA" w:eastAsia="en-CA"/>
        </w:rPr>
        <w:t xml:space="preserve">NP-15:  The Delivery Point for this transaction shall be NP-15 as defined as of the trade date.  If the definition of NP-15 changes or the zone ceases to exist, then the delivery point shall be that zone, or any physical location or bus, that reasonably resembles, in terms of liquidity and homogeneity and physical location, PGE3, specifically excluding, however, the proposed “North Bay and Greater Bay Area Zones” as identified in Figure 1 on page 10 of Appendix H (located at http://www.caiso.com/docs/09003a6080/06/ec/09003a608006ec61.pdf) to the document entitled “Congestion Management Reform Recommendations” (Draft Proposal) dated July 28, 2000 issued by the California ISO on its official website: </w:t>
      </w:r>
      <w:hyperlink r:id="rId2">
        <w:r>
          <w:rPr>
            <w:rStyle w:val="Hyperlink"/>
            <w:lang w:val="en-CA" w:eastAsia="en-CA"/>
          </w:rPr>
          <w:t>http://www.caiso.com</w:t>
        </w:r>
      </w:hyperlink>
      <w:r>
        <w:rPr>
          <w:lang w:val="en-CA" w:eastAsia="en-CA"/>
        </w:rPr>
        <w:t>.</w:t>
      </w:r>
    </w:p>
    <w:p>
      <w:pPr>
        <w:pStyle w:val="Normal"/>
        <w:jc w:val="both"/>
        <w:rPr>
          <w:lang w:val="en-CA" w:eastAsia="en-CA"/>
        </w:rPr>
      </w:pPr>
      <w:r>
        <w:rPr>
          <w:lang w:val="en-CA" w:eastAsia="en-CA"/>
        </w:rPr>
      </w:r>
    </w:p>
    <w:p>
      <w:pPr>
        <w:pStyle w:val="Normal"/>
        <w:numPr>
          <w:ilvl w:val="1"/>
          <w:numId w:val="1"/>
        </w:numPr>
        <w:jc w:val="both"/>
        <w:rPr/>
      </w:pPr>
      <w:r>
        <w:rPr/>
        <w:fldChar w:fldCharType="begin"/>
      </w:r>
      <w:r>
        <w:rPr/>
        <w:instrText xml:space="preserve"> MERGEFIELD DeliveryPoint </w:instrText>
      </w:r>
      <w:r>
        <w:rPr/>
        <w:fldChar w:fldCharType="separate"/>
      </w:r>
      <w:r>
        <w:rPr/>
        <w:t>SP-15:  The Delivery Point for this transaction shall be SP-15 as defined as of the trade date.  If the definition of SP-15 changes or the zone ceases to exist, then the delivery point shall be that zone, or any physical location or bus, that reasonably resembles, in terms of liquidity and homogeneity and physical location, SCE1, specifically excluding, however, the proposed Zones “LA Basin Area Excluding LADWP” and “San Diego,” as identified in Figure 1 on page 10 of Appendix H (located at  &lt;http://www.caiso.com/docs/09003a6080/06/ec/09003a608006ec61.pdf&gt;) to the document entitled “Congestion Management Reform Recommendations” (Draft Proposal) dated July 28, 2000 issued by the California ISO on its official website: http://www.caiso.com.</w:t>
      </w:r>
      <w:r>
        <w:rPr/>
        <w:fldChar w:fldCharType="end"/>
      </w:r>
    </w:p>
    <w:p>
      <w:pPr>
        <w:pStyle w:val="Normal"/>
        <w:ind w:start="360" w:end="0"/>
        <w:jc w:val="both"/>
        <w:rPr/>
      </w:pPr>
      <w:r>
        <w:rPr/>
      </w:r>
    </w:p>
    <w:p>
      <w:pPr>
        <w:pStyle w:val="Normal"/>
        <w:numPr>
          <w:ilvl w:val="0"/>
          <w:numId w:val="1"/>
        </w:numPr>
        <w:jc w:val="both"/>
        <w:rPr/>
      </w:pPr>
      <w:r>
        <w:rPr>
          <w:b/>
          <w:bCs/>
        </w:rPr>
        <w:t>Scheduling Language</w:t>
      </w:r>
      <w:r>
        <w:rPr/>
        <w:t xml:space="preserve">.  </w:t>
      </w:r>
    </w:p>
    <w:p>
      <w:pPr>
        <w:pStyle w:val="Normal"/>
        <w:ind w:start="360" w:end="0"/>
        <w:jc w:val="both"/>
        <w:rPr/>
      </w:pPr>
      <w:r>
        <w:rPr/>
      </w:r>
    </w:p>
    <w:p>
      <w:pPr>
        <w:pStyle w:val="Normal"/>
        <w:numPr>
          <w:ilvl w:val="1"/>
          <w:numId w:val="1"/>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1"/>
        </w:numPr>
        <w:jc w:val="both"/>
        <w:rPr/>
      </w:pPr>
      <w:r>
        <w:rPr/>
        <w:t>PJM Western Hub: Daily preschedule by 12:00 pm EPT on the NERC Business Day prior to delivery.</w:t>
      </w:r>
    </w:p>
    <w:p>
      <w:pPr>
        <w:pStyle w:val="Normal"/>
        <w:numPr>
          <w:ilvl w:val="2"/>
          <w:numId w:val="1"/>
        </w:numPr>
        <w:jc w:val="both"/>
        <w:rPr/>
      </w:pPr>
      <w:r>
        <w:rPr/>
        <w:t xml:space="preserve">Into TVA/Cinergy/Entergy/ComEd/Ameren/SOCO: Daily preschedule by 11:00 am CPT on the NERC Business Day prior to delivery. </w:t>
      </w:r>
    </w:p>
    <w:p>
      <w:pPr>
        <w:pStyle w:val="Normal"/>
        <w:numPr>
          <w:ilvl w:val="2"/>
          <w:numId w:val="1"/>
        </w:numPr>
        <w:jc w:val="both"/>
        <w:rPr/>
      </w:pPr>
      <w:r>
        <w:rPr/>
        <w:t>ERCOT: Daily preschedule by 10:00 am CPT on the NERC Business Day prior to delivery.</w:t>
      </w:r>
    </w:p>
    <w:p>
      <w:pPr>
        <w:pStyle w:val="Normal"/>
        <w:ind w:start="1080" w:end="0"/>
        <w:jc w:val="both"/>
        <w:rPr/>
      </w:pPr>
      <w:r>
        <w:rPr/>
      </w:r>
    </w:p>
    <w:p>
      <w:pPr>
        <w:pStyle w:val="Normal"/>
        <w:numPr>
          <w:ilvl w:val="1"/>
          <w:numId w:val="1"/>
        </w:numPr>
        <w:jc w:val="both"/>
        <w:rPr/>
      </w:pPr>
      <w:r>
        <w:rPr/>
        <w:t>Scheduling Contacts for East:</w:t>
      </w:r>
    </w:p>
    <w:p>
      <w:pPr>
        <w:pStyle w:val="Normal"/>
        <w:jc w:val="both"/>
        <w:rPr/>
      </w:pPr>
      <w:r>
        <w:rPr/>
      </w:r>
    </w:p>
    <w:p>
      <w:pPr>
        <w:pStyle w:val="Normal"/>
        <w:numPr>
          <w:ilvl w:val="2"/>
          <w:numId w:val="1"/>
        </w:numPr>
        <w:jc w:val="both"/>
        <w:rPr/>
      </w:pPr>
      <w:r>
        <w:rPr/>
        <w:t>EPMI Real Time Operations:  1-800-349-5527</w:t>
      </w:r>
    </w:p>
    <w:p>
      <w:pPr>
        <w:pStyle w:val="Normal"/>
        <w:numPr>
          <w:ilvl w:val="2"/>
          <w:numId w:val="1"/>
        </w:numPr>
        <w:jc w:val="both"/>
        <w:rPr/>
      </w:pPr>
      <w:r>
        <w:rPr/>
        <w:t>[Dynegy]:  ___________________-</w:t>
      </w:r>
    </w:p>
    <w:p>
      <w:pPr>
        <w:pStyle w:val="Normal"/>
        <w:ind w:start="1980" w:end="0"/>
        <w:jc w:val="both"/>
        <w:rPr/>
      </w:pPr>
      <w:r>
        <w:rPr/>
      </w:r>
    </w:p>
    <w:p>
      <w:pPr>
        <w:pStyle w:val="Normal"/>
        <w:numPr>
          <w:ilvl w:val="1"/>
          <w:numId w:val="1"/>
        </w:numPr>
        <w:jc w:val="both"/>
        <w:rPr/>
      </w:pPr>
      <w:r>
        <w:rPr/>
        <w:t>Scheduling Contacts for West:</w:t>
      </w:r>
    </w:p>
    <w:p>
      <w:pPr>
        <w:pStyle w:val="Normal"/>
        <w:jc w:val="both"/>
        <w:rPr/>
      </w:pPr>
      <w:r>
        <w:rPr/>
      </w:r>
    </w:p>
    <w:p>
      <w:pPr>
        <w:pStyle w:val="Normal"/>
        <w:numPr>
          <w:ilvl w:val="2"/>
          <w:numId w:val="1"/>
        </w:numPr>
        <w:jc w:val="both"/>
        <w:rPr/>
      </w:pPr>
      <w:r>
        <w:rPr/>
        <w:t>EPMI Real Time Operations:  1-800-684-1336</w:t>
      </w:r>
    </w:p>
    <w:p>
      <w:pPr>
        <w:pStyle w:val="Normal"/>
        <w:numPr>
          <w:ilvl w:val="2"/>
          <w:numId w:val="1"/>
        </w:numPr>
        <w:jc w:val="both"/>
        <w:rPr/>
      </w:pPr>
      <w:r>
        <w:rPr/>
        <w:t>[Dynegy]:_________________________</w:t>
      </w:r>
    </w:p>
    <w:p>
      <w:pPr>
        <w:pStyle w:val="Normal"/>
        <w:ind w:start="1980" w:end="0"/>
        <w:jc w:val="both"/>
        <w:rPr/>
      </w:pPr>
      <w:r>
        <w:rPr/>
      </w:r>
    </w:p>
    <w:p>
      <w:pPr>
        <w:pStyle w:val="Normal"/>
        <w:numPr>
          <w:ilvl w:val="0"/>
          <w:numId w:val="1"/>
        </w:numPr>
        <w:jc w:val="both"/>
        <w:rPr/>
      </w:pPr>
      <w:r>
        <w:rPr>
          <w:b/>
          <w:bCs/>
        </w:rPr>
        <w:t>Options under the Power Master</w:t>
      </w:r>
      <w:r>
        <w:rPr/>
        <w:t>.  The following provisions shall apply to all transactions that involve the purchase or sale of an option under the Power Master:</w:t>
      </w:r>
    </w:p>
    <w:p>
      <w:pPr>
        <w:pStyle w:val="Normal"/>
        <w:ind w:start="360" w:end="0"/>
        <w:jc w:val="both"/>
        <w:rPr/>
      </w:pPr>
      <w:r>
        <w:rPr/>
      </w:r>
    </w:p>
    <w:p>
      <w:pPr>
        <w:pStyle w:val="Normal"/>
        <w:numPr>
          <w:ilvl w:val="1"/>
          <w:numId w:val="1"/>
        </w:numPr>
        <w:jc w:val="both"/>
        <w:rPr/>
      </w:pPr>
      <w:r>
        <w:rPr/>
        <w:t>The Premium shall be paid within two (2) Business Days from date of the Transaction.</w:t>
      </w:r>
    </w:p>
    <w:p>
      <w:pPr>
        <w:pStyle w:val="Normal"/>
        <w:ind w:start="1080" w:end="0"/>
        <w:jc w:val="both"/>
        <w:rPr/>
      </w:pPr>
      <w:r>
        <w:rPr/>
      </w:r>
    </w:p>
    <w:p>
      <w:pPr>
        <w:pStyle w:val="Normal"/>
        <w:numPr>
          <w:ilvl w:val="1"/>
          <w:numId w:val="1"/>
        </w:numPr>
        <w:jc w:val="both"/>
        <w:rPr/>
      </w:pPr>
      <w:r>
        <w:rPr/>
        <w:t xml:space="preserve">A Call Option Buyer has the right, but not the obligation, to elect on the expiration date to </w:t>
      </w:r>
      <w:r>
        <w:rPr>
          <w:color w:val="000000"/>
        </w:rPr>
        <w:t xml:space="preserve">schedule, receive and pay for at the Contract Price, and the Call Option Seller would have the obligation to schedule and deliver, a quantity of the product equal to the hourly quantity for each applicable hour during the term of the Transaction.  </w:t>
      </w:r>
      <w:r>
        <w:rPr/>
        <w:t xml:space="preserve">A Put Option Buyer has the right, but not the obligation, to elect on the expiration date to schedule, sell and deliver, and the Put Option Seller would have the obligation to schedule, receive and pay for at the Contract Price </w:t>
      </w:r>
      <w:r>
        <w:rPr>
          <w:color w:val="000000"/>
        </w:rPr>
        <w:t>a quantity of the product equal to the hourly quantity for each applicable hour during the term of the Transaction</w:t>
      </w:r>
      <w:r>
        <w:rPr/>
        <w:t xml:space="preserve">.  </w:t>
      </w:r>
    </w:p>
    <w:p>
      <w:pPr>
        <w:pStyle w:val="Normal"/>
        <w:jc w:val="both"/>
        <w:rPr/>
      </w:pPr>
      <w:r>
        <w:rPr/>
      </w:r>
    </w:p>
    <w:p>
      <w:pPr>
        <w:pStyle w:val="Normal"/>
        <w:numPr>
          <w:ilvl w:val="1"/>
          <w:numId w:val="1"/>
        </w:numPr>
        <w:jc w:val="both"/>
        <w:rPr/>
      </w:pPr>
      <w:r>
        <w:rPr/>
        <w:t>If the Option is properly exercised, the Parties shall be obligated to schedule, deliver and receive the hourly quantity for the period for which the Option is exercised.</w:t>
      </w:r>
    </w:p>
    <w:p>
      <w:pPr>
        <w:pStyle w:val="Normal"/>
        <w:jc w:val="both"/>
        <w:rPr/>
      </w:pPr>
      <w:r>
        <w:rPr/>
      </w:r>
    </w:p>
    <w:p>
      <w:pPr>
        <w:pStyle w:val="Normal"/>
        <w:numPr>
          <w:ilvl w:val="1"/>
          <w:numId w:val="1"/>
        </w:numPr>
        <w:jc w:val="both"/>
        <w:rPr/>
      </w:pPr>
      <w:r>
        <w:rPr/>
        <w:t xml:space="preserve">In order to exercise its option, the Option Buyer must provide telephone notice to the Option Seller on an expiration date no later than time set out below for the relevant delivery point.  </w:t>
      </w:r>
    </w:p>
    <w:p>
      <w:pPr>
        <w:pStyle w:val="Normal"/>
        <w:jc w:val="both"/>
        <w:rPr/>
      </w:pPr>
      <w:r>
        <w:rPr/>
      </w:r>
    </w:p>
    <w:p>
      <w:pPr>
        <w:pStyle w:val="Normal"/>
        <w:numPr>
          <w:ilvl w:val="2"/>
          <w:numId w:val="1"/>
        </w:numPr>
        <w:jc w:val="both"/>
        <w:rPr/>
      </w:pPr>
      <w:r>
        <w:rPr/>
        <w:t>Monthly Options:</w:t>
      </w:r>
    </w:p>
    <w:p>
      <w:pPr>
        <w:pStyle w:val="Normal"/>
        <w:numPr>
          <w:ilvl w:val="3"/>
          <w:numId w:val="1"/>
        </w:numPr>
        <w:jc w:val="both"/>
        <w:rPr/>
      </w:pPr>
      <w:r>
        <w:rPr/>
        <w:t>Any Location in the Eastern time zone:  10:00 am EPT</w:t>
      </w:r>
    </w:p>
    <w:p>
      <w:pPr>
        <w:pStyle w:val="Normal"/>
        <w:numPr>
          <w:ilvl w:val="3"/>
          <w:numId w:val="1"/>
        </w:numPr>
        <w:jc w:val="both"/>
        <w:rPr/>
      </w:pPr>
      <w:r>
        <w:rPr/>
        <w:t>Any Location in the Central time zone:  10:00 am CPT</w:t>
      </w:r>
    </w:p>
    <w:p>
      <w:pPr>
        <w:pStyle w:val="Normal"/>
        <w:numPr>
          <w:ilvl w:val="3"/>
          <w:numId w:val="1"/>
        </w:numPr>
        <w:jc w:val="both"/>
        <w:rPr/>
      </w:pPr>
      <w:r>
        <w:rPr/>
        <w:t>Any Location in the Pacific time zone:  2:00 pm PPT</w:t>
      </w:r>
    </w:p>
    <w:p>
      <w:pPr>
        <w:pStyle w:val="Normal"/>
        <w:numPr>
          <w:ilvl w:val="2"/>
          <w:numId w:val="1"/>
        </w:numPr>
        <w:jc w:val="both"/>
        <w:rPr/>
      </w:pPr>
      <w:r>
        <w:rPr/>
        <w:t>Daily Options:</w:t>
      </w:r>
    </w:p>
    <w:p>
      <w:pPr>
        <w:pStyle w:val="Normal"/>
        <w:numPr>
          <w:ilvl w:val="3"/>
          <w:numId w:val="1"/>
        </w:numPr>
        <w:jc w:val="both"/>
        <w:rPr/>
      </w:pPr>
      <w:r>
        <w:rPr/>
        <w:t xml:space="preserve"> </w:t>
      </w:r>
      <w:r>
        <w:rPr/>
        <w:t>Any Location in the Eastern time zone:  10:00 am EPT</w:t>
      </w:r>
    </w:p>
    <w:p>
      <w:pPr>
        <w:pStyle w:val="Normal"/>
        <w:numPr>
          <w:ilvl w:val="3"/>
          <w:numId w:val="1"/>
        </w:numPr>
        <w:jc w:val="both"/>
        <w:rPr/>
      </w:pPr>
      <w:r>
        <w:rPr/>
        <w:t>Any Location in Central time zone, except ERCOT:  9:15 am CPT</w:t>
      </w:r>
    </w:p>
    <w:p>
      <w:pPr>
        <w:pStyle w:val="Normal"/>
        <w:numPr>
          <w:ilvl w:val="3"/>
          <w:numId w:val="1"/>
        </w:numPr>
        <w:jc w:val="both"/>
        <w:rPr/>
      </w:pPr>
      <w:r>
        <w:rPr/>
        <w:t>ERCOT:  10:00 am CPT</w:t>
      </w:r>
    </w:p>
    <w:p>
      <w:pPr>
        <w:pStyle w:val="Normal"/>
        <w:numPr>
          <w:ilvl w:val="3"/>
          <w:numId w:val="1"/>
        </w:numPr>
        <w:jc w:val="both"/>
        <w:rPr/>
      </w:pPr>
      <w:r>
        <w:rPr/>
        <w:t>Any Location in the Pacific time zone:  6:30 am</w:t>
      </w:r>
    </w:p>
    <w:p>
      <w:pPr>
        <w:pStyle w:val="Normal"/>
        <w:jc w:val="both"/>
        <w:rPr/>
      </w:pPr>
      <w:r>
        <w:rPr/>
      </w:r>
    </w:p>
    <w:p>
      <w:pPr>
        <w:pStyle w:val="Normal"/>
        <w:numPr>
          <w:ilvl w:val="1"/>
          <w:numId w:val="1"/>
        </w:numPr>
        <w:jc w:val="both"/>
        <w:rPr/>
      </w:pPr>
      <w:r>
        <w:rPr/>
        <w:t>For a daily option, the Exercise Date shall be the NERC Business Day prior to the Delivery Day for which the Option is exercised.  For a monthly option, the Exercise Date shall be the p</w:t>
      </w:r>
      <w:r>
        <w:rPr>
          <w:color w:val="000000"/>
        </w:rPr>
        <w:t>enultimate NERC Business Day of the month prior to the delivery month for which the monthly option is being exercised</w:t>
      </w:r>
      <w:r>
        <w:rPr/>
        <w:t xml:space="preserve">.  </w:t>
      </w:r>
    </w:p>
    <w:p>
      <w:pPr>
        <w:pStyle w:val="Normal"/>
        <w:ind w:start="1080" w:end="0"/>
        <w:jc w:val="both"/>
        <w:rPr/>
      </w:pPr>
      <w:r>
        <w:rPr/>
      </w:r>
    </w:p>
    <w:p>
      <w:pPr>
        <w:pStyle w:val="Normal"/>
        <w:numPr>
          <w:ilvl w:val="1"/>
          <w:numId w:val="1"/>
        </w:numPr>
        <w:jc w:val="both"/>
        <w:rPr/>
      </w:pPr>
      <w:r>
        <w:rPr/>
        <w:t>Contact Information for exercise of Option:</w:t>
      </w:r>
    </w:p>
    <w:p>
      <w:pPr>
        <w:pStyle w:val="Normal"/>
        <w:jc w:val="both"/>
        <w:rPr/>
      </w:pPr>
      <w:r>
        <w:rPr/>
      </w:r>
    </w:p>
    <w:p>
      <w:pPr>
        <w:pStyle w:val="Normal"/>
        <w:numPr>
          <w:ilvl w:val="2"/>
          <w:numId w:val="1"/>
        </w:numPr>
        <w:jc w:val="both"/>
        <w:rPr/>
      </w:pPr>
      <w:r>
        <w:rPr/>
        <w:t>East</w:t>
      </w:r>
    </w:p>
    <w:p>
      <w:pPr>
        <w:pStyle w:val="Normal"/>
        <w:numPr>
          <w:ilvl w:val="3"/>
          <w:numId w:val="1"/>
        </w:numPr>
        <w:jc w:val="both"/>
        <w:rPr/>
      </w:pPr>
      <w:r>
        <w:rPr/>
        <w:t xml:space="preserve">Enron:  1-877-367-6601  </w:t>
      </w:r>
    </w:p>
    <w:p>
      <w:pPr>
        <w:pStyle w:val="Normal"/>
        <w:numPr>
          <w:ilvl w:val="3"/>
          <w:numId w:val="1"/>
        </w:numPr>
        <w:jc w:val="both"/>
        <w:rPr/>
      </w:pPr>
      <w:r>
        <w:rPr/>
        <w:t>Dynegy:</w:t>
      </w:r>
    </w:p>
    <w:p>
      <w:pPr>
        <w:pStyle w:val="Normal"/>
        <w:numPr>
          <w:ilvl w:val="2"/>
          <w:numId w:val="1"/>
        </w:numPr>
        <w:jc w:val="both"/>
        <w:rPr/>
      </w:pPr>
      <w:r>
        <w:rPr/>
        <w:t>West:</w:t>
      </w:r>
    </w:p>
    <w:p>
      <w:pPr>
        <w:pStyle w:val="Normal"/>
        <w:numPr>
          <w:ilvl w:val="3"/>
          <w:numId w:val="1"/>
        </w:numPr>
        <w:jc w:val="both"/>
        <w:rPr/>
      </w:pPr>
      <w:r>
        <w:rPr/>
        <w:t>Enron:  1-800-684-1336</w:t>
      </w:r>
    </w:p>
    <w:p>
      <w:pPr>
        <w:pStyle w:val="Normal"/>
        <w:numPr>
          <w:ilvl w:val="3"/>
          <w:numId w:val="1"/>
        </w:numPr>
        <w:jc w:val="both"/>
        <w:rPr/>
      </w:pPr>
      <w:r>
        <w:rPr/>
        <w:t>Dynegy:</w:t>
      </w:r>
    </w:p>
    <w:p>
      <w:pPr>
        <w:pStyle w:val="Normal"/>
        <w:ind w:start="360" w:end="0"/>
        <w:jc w:val="both"/>
        <w:rPr/>
      </w:pPr>
      <w:r>
        <w:rPr/>
      </w:r>
    </w:p>
    <w:p>
      <w:pPr>
        <w:pStyle w:val="Normal"/>
        <w:numPr>
          <w:ilvl w:val="0"/>
          <w:numId w:val="1"/>
        </w:numPr>
        <w:jc w:val="both"/>
        <w:rPr/>
      </w:pPr>
      <w:r>
        <w:rPr>
          <w:b/>
          <w:bCs/>
        </w:rPr>
        <w:t>Market Disruption</w:t>
      </w:r>
      <w:r>
        <w:rPr/>
        <w:t xml:space="preserve">.  If a Market Disruption Event has occurred and is continuing during the Determination Period, the Floating Price for the affected Trading Day shall be determined pursuant to the index specified in the Commodity Transaction for the </w:t>
      </w:r>
      <w:r>
        <w:rPr>
          <w:bCs/>
        </w:rPr>
        <w:t>first Trading Day thereafter on which no Market Disruption Event exists</w:t>
      </w:r>
      <w:r>
        <w:rPr/>
        <w:t xml:space="preserve">;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ind w:start="1080" w:end="0"/>
        <w:jc w:val="both"/>
        <w:rPr/>
      </w:pPr>
      <w:r>
        <w:rPr/>
      </w:r>
    </w:p>
    <w:p>
      <w:pPr>
        <w:pStyle w:val="Normal"/>
        <w:numPr>
          <w:ilvl w:val="2"/>
          <w:numId w:val="1"/>
        </w:numPr>
        <w:jc w:val="both"/>
        <w:rPr/>
      </w:pPr>
      <w:r>
        <w:rPr/>
        <w:t>"</w:t>
      </w:r>
      <w:r>
        <w:rPr>
          <w:u w:val="single"/>
        </w:rPr>
        <w:t>Determination Period</w:t>
      </w:r>
      <w:r>
        <w:rPr/>
        <w:t>" means each calendar month during the Term of the relevant Commodity Transaction; provided that if the Term of the Commodity Transaction is less than one calendar month the Determination Period shall be the Term of the Commodity Transaction.</w:t>
      </w:r>
    </w:p>
    <w:p>
      <w:pPr>
        <w:pStyle w:val="Normal"/>
        <w:ind w:start="1980" w:end="0"/>
        <w:jc w:val="both"/>
        <w:rPr/>
      </w:pPr>
      <w:r>
        <w:rPr/>
      </w:r>
    </w:p>
    <w:p>
      <w:pPr>
        <w:pStyle w:val="Normal"/>
        <w:numPr>
          <w:ilvl w:val="2"/>
          <w:numId w:val="1"/>
        </w:numPr>
        <w:jc w:val="both"/>
        <w:rPr/>
      </w:pPr>
      <w:r>
        <w:rPr/>
        <w:t>"</w:t>
      </w:r>
      <w:r>
        <w:rPr>
          <w:u w:val="single"/>
        </w:rPr>
        <w:t>Floating Price</w:t>
      </w:r>
      <w:r>
        <w:rPr/>
        <w:t>" means the price specified in the Commodity Transaction as being based upon a specified index.</w:t>
      </w:r>
    </w:p>
    <w:p>
      <w:pPr>
        <w:pStyle w:val="Normal"/>
        <w:jc w:val="both"/>
        <w:rPr/>
      </w:pPr>
      <w:r>
        <w:rPr/>
      </w:r>
    </w:p>
    <w:p>
      <w:pPr>
        <w:pStyle w:val="Normal"/>
        <w:numPr>
          <w:ilvl w:val="2"/>
          <w:numId w:val="1"/>
        </w:numPr>
        <w:jc w:val="both"/>
        <w:rPr/>
      </w:pPr>
      <w:r>
        <w:rPr>
          <w:u w:val="single"/>
        </w:rPr>
        <w:t>"Market Disruption Event</w:t>
      </w:r>
      <w:r>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pPr>
      <w:r>
        <w:rPr/>
      </w:r>
    </w:p>
    <w:p>
      <w:pPr>
        <w:pStyle w:val="Normal"/>
        <w:numPr>
          <w:ilvl w:val="2"/>
          <w:numId w:val="1"/>
        </w:numPr>
        <w:jc w:val="both"/>
        <w:rPr/>
      </w:pPr>
      <w:r>
        <w:rPr/>
        <w:t>"</w:t>
      </w:r>
      <w:r>
        <w:rPr>
          <w:u w:val="single"/>
        </w:rPr>
        <w:t>Trading Day</w:t>
      </w:r>
      <w:r>
        <w:rPr/>
        <w:t>" means a day in respect of which the relevant price source published the relevant price.</w:t>
      </w:r>
    </w:p>
    <w:p>
      <w:pPr>
        <w:pStyle w:val="Normal"/>
        <w:ind w:start="1980" w:end="0"/>
        <w:jc w:val="both"/>
        <w:rPr/>
      </w:pPr>
      <w:r>
        <w:rPr/>
      </w:r>
    </w:p>
    <w:p>
      <w:pPr>
        <w:pStyle w:val="Normal"/>
        <w:numPr>
          <w:ilvl w:val="1"/>
          <w:numId w:val="1"/>
        </w:numPr>
        <w:jc w:val="both"/>
        <w:rPr/>
      </w:pPr>
      <w:r>
        <w:rPr/>
        <w:t>Corrections to Published Prices</w:t>
      </w:r>
      <w:r>
        <w:rPr>
          <w:b/>
          <w:bCs/>
        </w:rPr>
        <w:t>.</w:t>
      </w:r>
      <w:r>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ind w:start="1080" w:end="0"/>
        <w:jc w:val="both"/>
        <w:rPr/>
      </w:pPr>
      <w:r>
        <w:rPr/>
      </w:r>
    </w:p>
    <w:p>
      <w:pPr>
        <w:pStyle w:val="Normal"/>
        <w:numPr>
          <w:ilvl w:val="1"/>
          <w:numId w:val="1"/>
        </w:numPr>
        <w:jc w:val="both"/>
        <w:rPr/>
      </w:pPr>
      <w:r>
        <w:rPr/>
        <w:t>Calculation of Floating Price.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jc w:val="both"/>
        <w:rPr/>
      </w:pPr>
      <w:r>
        <w:rPr/>
      </w:r>
    </w:p>
    <w:p>
      <w:pPr>
        <w:pStyle w:val="Normal"/>
        <w:numPr>
          <w:ilvl w:val="0"/>
          <w:numId w:val="3"/>
        </w:numPr>
        <w:jc w:val="both"/>
        <w:rPr/>
      </w:pPr>
      <w:r>
        <w:rPr/>
        <w:t>Dynegy Power to EPMI pursuant to a Dynegy</w:t>
      </w:r>
      <w:r>
        <w:rPr>
          <w:i/>
          <w:iCs/>
        </w:rPr>
        <w:t>direct</w:t>
      </w:r>
      <w:r>
        <w:rPr/>
        <w:t xml:space="preserve"> Transaction, the following additional terms shall apply and be incorporated in each such Dynegy</w:t>
      </w:r>
      <w:r>
        <w:rPr>
          <w:i/>
          <w:iCs/>
        </w:rPr>
        <w:t>direct</w:t>
      </w:r>
      <w:r>
        <w:rPr/>
        <w:t xml:space="preserve"> Transaction:</w:t>
      </w:r>
    </w:p>
    <w:p>
      <w:pPr>
        <w:pStyle w:val="Normal"/>
        <w:ind w:start="360" w:end="0"/>
        <w:jc w:val="both"/>
        <w:rPr/>
      </w:pPr>
      <w:r>
        <w:rPr/>
      </w:r>
    </w:p>
    <w:p>
      <w:pPr>
        <w:pStyle w:val="Normal"/>
        <w:ind w:start="360" w:end="0"/>
        <w:jc w:val="both"/>
        <w:rPr/>
      </w:pPr>
      <w:r>
        <w:rPr/>
      </w:r>
    </w:p>
    <w:p>
      <w:pPr>
        <w:pStyle w:val="Normal"/>
        <w:numPr>
          <w:ilvl w:val="0"/>
          <w:numId w:val="3"/>
        </w:numPr>
        <w:jc w:val="both"/>
        <w:rPr/>
      </w:pPr>
      <w:r>
        <w:rPr/>
        <w:t>With respect to the sales of Power by EPMI to Dynegy Power pursuant to a Dynegy</w:t>
      </w:r>
      <w:r>
        <w:rPr>
          <w:i/>
          <w:iCs/>
        </w:rPr>
        <w:t>direct</w:t>
      </w:r>
      <w:r>
        <w:rPr/>
        <w:t xml:space="preserve"> Transaction, the following additional terms shall apply and be incorporated in each such Dynegy</w:t>
      </w:r>
      <w:r>
        <w:rPr>
          <w:i/>
          <w:iCs/>
        </w:rPr>
        <w:t>direct</w:t>
      </w:r>
      <w:r>
        <w:rPr/>
        <w:t xml:space="preserve"> Transaction:</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/mnt/main-storage/datasets/enron-docs/doc/DYNEGY_Direct_Amendment.doc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7/31/01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upperRoman"/>
      <w:lvlText w:val="%1."/>
      <w:lvlJc w:val="start"/>
      <w:pPr>
        <w:tabs>
          <w:tab w:val="num" w:pos="1080"/>
        </w:tabs>
        <w:ind w:start="108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3z0">
    <w:name w:val="WW8Num3z0"/>
    <w:qFormat/>
    <w:rPr>
      <w:rFonts w:ascii="Times New Roman" w:hAnsi="Times New Roman" w:cs="Times New Roman"/>
      <w:b w:val="false"/>
      <w:i w:val="false"/>
      <w:sz w:val="24"/>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style>
  <w:style w:type="paragraph" w:styleId="BodyTextIndent2">
    <w:name w:val="Body Text Indent 2"/>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2001-08-20T14:04:00Z</dcterms:created>
  <dc:creator>mtaylo1</dc:creator>
  <dc:description/>
  <dc:language>en-CA</dc:language>
  <cp:lastModifiedBy>leslie hansen</cp:lastModifiedBy>
  <cp:lastPrinted>2001-08-30T11:18:00Z</cp:lastPrinted>
  <dcterms:modified xsi:type="dcterms:W3CDTF">2001-08-30T13:48:00Z</dcterms:modified>
  <cp:revision>7</cp:revision>
  <dc:subject/>
  <dc:title>CONSENT AND AMENDMENT AGREEMENT</dc:title>
</cp:coreProperties>
</file>