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spacing w:lineRule="auto" w:line="240"/>
        <w:ind w:hanging="0" w:end="0"/>
        <w:rPr>
          <w:rStyle w:val="LetterDate"/>
          <w:lang w:val="en-CA"/>
        </w:rPr>
      </w:pPr>
      <w:r>
        <w:rPr/>
      </w:r>
      <w:bookmarkStart w:id="0" w:name="PleadingCPUCModel"/>
      <w:bookmarkStart w:id="1" w:name="PleadingCPUCModel"/>
      <w:bookmarkEnd w:id="1"/>
    </w:p>
    <w:p>
      <w:pPr>
        <w:pStyle w:val="BodyText"/>
        <w:spacing w:lineRule="auto" w:line="240"/>
        <w:ind w:hanging="0" w:end="0"/>
        <w:rPr>
          <w:rStyle w:val="LetterDate"/>
          <w:lang w:val="en-CA"/>
        </w:rPr>
      </w:pPr>
      <w:r>
        <w:rPr/>
      </w:r>
    </w:p>
    <w:p>
      <w:pPr>
        <w:pStyle w:val="BodyText"/>
        <w:spacing w:lineRule="auto" w:line="240"/>
        <w:ind w:hanging="0" w:end="0"/>
        <w:rPr>
          <w:rStyle w:val="LetterDate"/>
          <w:lang w:val="en-CA"/>
        </w:rPr>
      </w:pPr>
      <w:r>
        <w:rPr/>
      </w:r>
    </w:p>
    <w:p>
      <w:pPr>
        <w:pStyle w:val="BodyText"/>
        <w:spacing w:lineRule="auto" w:line="240"/>
        <w:ind w:hanging="0" w:end="0"/>
        <w:rPr>
          <w:rStyle w:val="LetterDate"/>
          <w:lang w:val="en-CA"/>
        </w:rPr>
      </w:pPr>
      <w:r>
        <w:rPr/>
      </w:r>
    </w:p>
    <w:p>
      <w:pPr>
        <w:pStyle w:val="BodyText"/>
        <w:spacing w:lineRule="auto" w:line="240"/>
        <w:ind w:hanging="0" w:end="0"/>
        <w:rPr/>
      </w:pPr>
      <w:r>
        <w:rPr>
          <w:rStyle w:val="LetterDate"/>
          <w:lang w:val="en-CA"/>
        </w:rPr>
        <w:t>September 14, 2001</w:t>
      </w:r>
    </w:p>
    <w:p>
      <w:pPr>
        <w:pStyle w:val="BodyText"/>
        <w:spacing w:lineRule="auto" w:line="240"/>
        <w:ind w:hanging="0" w:end="0"/>
        <w:rPr>
          <w:rStyle w:val="LetterDate"/>
          <w:lang w:val="en-CA"/>
        </w:rPr>
      </w:pPr>
      <w:r>
        <w:rPr/>
      </w:r>
    </w:p>
    <w:p>
      <w:pPr>
        <w:pStyle w:val="BodyText"/>
        <w:spacing w:lineRule="auto" w:line="240"/>
        <w:ind w:hanging="0" w:end="0"/>
        <w:rPr>
          <w:rStyle w:val="LetterDate"/>
          <w:lang w:val="en-CA"/>
        </w:rPr>
      </w:pPr>
      <w:r>
        <w:rPr/>
      </w:r>
    </w:p>
    <w:p>
      <w:pPr>
        <w:pStyle w:val="BodyText"/>
        <w:spacing w:lineRule="auto" w:line="240"/>
        <w:ind w:hanging="0" w:end="0"/>
        <w:rPr>
          <w:rStyle w:val="LetterDate"/>
          <w:lang w:val="en-CA"/>
        </w:rPr>
      </w:pPr>
      <w:r>
        <w:rPr/>
      </w:r>
    </w:p>
    <w:p>
      <w:pPr>
        <w:pStyle w:val="BodyText"/>
        <w:spacing w:lineRule="auto" w:line="240"/>
        <w:ind w:hanging="0" w:end="0"/>
        <w:rPr>
          <w:rStyle w:val="LetterDate"/>
          <w:lang w:val="en-CA"/>
        </w:rPr>
      </w:pPr>
      <w:r>
        <w:rPr/>
      </w:r>
    </w:p>
    <w:p>
      <w:pPr>
        <w:pStyle w:val="WW-Addressee"/>
        <w:rPr/>
      </w:pPr>
      <w:r>
        <w:rPr/>
        <w:t>Docket Clerk</w:t>
      </w:r>
    </w:p>
    <w:p>
      <w:pPr>
        <w:pStyle w:val="Address"/>
        <w:rPr/>
      </w:pPr>
      <w:r>
        <w:rPr/>
        <w:t>California Public Utilities Commission</w:t>
      </w:r>
    </w:p>
    <w:p>
      <w:pPr>
        <w:pStyle w:val="Address"/>
        <w:rPr/>
      </w:pPr>
      <w:r>
        <w:rPr/>
        <w:t>505 Van Ness Avenue, Room 2001</w:t>
      </w:r>
    </w:p>
    <w:p>
      <w:pPr>
        <w:pStyle w:val="Address"/>
        <w:rPr/>
      </w:pPr>
      <w:r>
        <w:rPr/>
        <w:t>San Francisco, CA  94102</w:t>
      </w:r>
    </w:p>
    <w:p>
      <w:pPr>
        <w:pStyle w:val="Address"/>
        <w:rPr/>
      </w:pPr>
      <w:r>
        <w:rPr/>
      </w:r>
    </w:p>
    <w:p>
      <w:pPr>
        <w:pStyle w:val="Normal"/>
        <w:tabs>
          <w:tab w:val="clear" w:pos="720"/>
          <w:tab w:val="left" w:pos="900" w:leader="none"/>
          <w:tab w:val="left" w:pos="4410" w:leader="none"/>
        </w:tabs>
        <w:spacing w:lineRule="auto" w:line="240"/>
        <w:rPr/>
      </w:pPr>
      <w:r>
        <w:rPr>
          <w:rFonts w:eastAsia="Times New Roman" w:cs="Times New Roman" w:ascii="Times New Roman" w:hAnsi="Times New Roman"/>
        </w:rPr>
        <w:t>Re:</w:t>
        <w:tab/>
      </w:r>
      <w:r>
        <w:rPr>
          <w:rFonts w:eastAsia="Times New Roman" w:cs="Times New Roman" w:ascii="Times New Roman" w:hAnsi="Times New Roman"/>
          <w:u w:val="single"/>
        </w:rPr>
        <w:t>A. 00-11-038, A. 00-11-056, A. 00-10-028</w:t>
      </w:r>
    </w:p>
    <w:p>
      <w:pPr>
        <w:pStyle w:val="Normal"/>
        <w:tabs>
          <w:tab w:val="clear" w:pos="720"/>
          <w:tab w:val="left" w:pos="900" w:leader="none"/>
          <w:tab w:val="left" w:pos="4410" w:leader="none"/>
        </w:tabs>
        <w:spacing w:lineRule="auto" w:line="240"/>
        <w:rPr/>
      </w:pPr>
      <w:r>
        <w:rPr/>
      </w:r>
    </w:p>
    <w:p>
      <w:pPr>
        <w:pStyle w:val="BodyText"/>
        <w:spacing w:lineRule="auto" w:line="240"/>
        <w:ind w:hanging="0" w:end="0"/>
        <w:rPr/>
      </w:pPr>
      <w:r>
        <w:rPr/>
        <w:t>Dear Sir/Madam:</w:t>
      </w:r>
    </w:p>
    <w:p>
      <w:pPr>
        <w:pStyle w:val="BodyText"/>
        <w:spacing w:lineRule="auto" w:line="240"/>
        <w:ind w:hanging="0" w:end="0"/>
        <w:rPr/>
      </w:pPr>
      <w:r>
        <w:rPr/>
      </w:r>
    </w:p>
    <w:p>
      <w:pPr>
        <w:pStyle w:val="BodyText"/>
        <w:spacing w:lineRule="auto" w:line="240"/>
        <w:ind w:hanging="0" w:end="0"/>
        <w:rPr/>
      </w:pPr>
      <w:r>
        <w:rPr/>
        <w:t>Enclosed for filing are the original and five (5) copies of the “</w:t>
      </w:r>
      <w:r>
        <w:rPr>
          <w:b/>
          <w:bCs/>
        </w:rPr>
        <w:t>MOTION OF PACIFIC GAS AND ELECTRIC COMPANY TO POSTPONE COMMISSION CONSIDERATION OF DWR-RELATED DRAFT DECISIONS IN LIGHT OF NEW INFORMATION FROM STATE TREASURER</w:t>
      </w:r>
      <w:r>
        <w:rPr/>
        <w:t>” in the above-captioned matter.</w:t>
      </w:r>
    </w:p>
    <w:p>
      <w:pPr>
        <w:pStyle w:val="BodyText"/>
        <w:spacing w:lineRule="auto" w:line="240"/>
        <w:ind w:hanging="0" w:end="0"/>
        <w:rPr/>
      </w:pPr>
      <w:r>
        <w:rPr/>
      </w:r>
    </w:p>
    <w:p>
      <w:pPr>
        <w:pStyle w:val="BodyText"/>
        <w:spacing w:lineRule="auto" w:line="240"/>
        <w:ind w:hanging="0" w:end="0"/>
        <w:rPr/>
      </w:pPr>
      <w:r>
        <w:rPr/>
        <w:t>Please file the original document, date-stamp one copy, and place the copy in PG&amp;E’s box for pick-up.</w:t>
      </w:r>
    </w:p>
    <w:p>
      <w:pPr>
        <w:pStyle w:val="BodyText"/>
        <w:spacing w:lineRule="auto" w:line="240"/>
        <w:ind w:hanging="0" w:end="0"/>
        <w:rPr/>
      </w:pPr>
      <w:r>
        <w:rPr/>
      </w:r>
    </w:p>
    <w:p>
      <w:pPr>
        <w:pStyle w:val="Normal"/>
        <w:spacing w:lineRule="auto" w:line="240"/>
        <w:rPr>
          <w:rFonts w:ascii="Times New Roman" w:hAnsi="Times New Roman" w:eastAsia="Times New Roman" w:cs="Times New Roman"/>
        </w:rPr>
      </w:pPr>
      <w:r>
        <w:rPr>
          <w:rFonts w:eastAsia="Times New Roman" w:cs="Times New Roman" w:ascii="Times New Roman" w:hAnsi="Times New Roman"/>
        </w:rPr>
        <w:t>Very truly yours,</w:t>
      </w:r>
    </w:p>
    <w:p>
      <w:pPr>
        <w:pStyle w:val="Normal"/>
        <w:spacing w:lineRule="auto" w:line="240"/>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0"/>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0"/>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0"/>
        <w:rPr>
          <w:rFonts w:ascii="Times New Roman" w:hAnsi="Times New Roman" w:eastAsia="Times New Roman" w:cs="Times New Roman"/>
        </w:rPr>
      </w:pPr>
      <w:r>
        <w:rPr>
          <w:rFonts w:eastAsia="Times New Roman" w:cs="Times New Roman" w:ascii="Times New Roman" w:hAnsi="Times New Roman"/>
        </w:rPr>
        <w:t>Christopher J. Warner</w:t>
      </w:r>
    </w:p>
    <w:p>
      <w:pPr>
        <w:pStyle w:val="Normal"/>
        <w:spacing w:lineRule="auto" w:line="240"/>
        <w:rPr>
          <w:rFonts w:ascii="Times New Roman" w:hAnsi="Times New Roman" w:eastAsia="Times New Roman" w:cs="Times New Roman"/>
        </w:rPr>
      </w:pPr>
      <w:bookmarkStart w:id="2" w:name="InitialsLine"/>
      <w:bookmarkEnd w:id="2"/>
      <w:r>
        <w:rPr>
          <w:rFonts w:eastAsia="Times New Roman" w:cs="Times New Roman" w:ascii="Times New Roman" w:hAnsi="Times New Roman"/>
        </w:rPr>
        <w:t>CJW:mw</w:t>
      </w:r>
    </w:p>
    <w:p>
      <w:pPr>
        <w:pStyle w:val="BodyText"/>
        <w:spacing w:lineRule="auto" w:line="240"/>
        <w:ind w:hanging="0" w:end="0"/>
        <w:rPr/>
      </w:pPr>
      <w:r>
        <w:rPr/>
        <w:t>Enclosures</w:t>
      </w:r>
    </w:p>
    <w:p>
      <w:pPr>
        <w:pStyle w:val="BodyText"/>
        <w:spacing w:lineRule="auto" w:line="240"/>
        <w:ind w:hanging="0" w:end="0"/>
        <w:rPr/>
      </w:pPr>
      <w:r>
        <w:rPr/>
        <w:t>cc:</w:t>
        <w:tab/>
        <w:t>President Loretta M. Lynch</w:t>
        <w:tab/>
        <w:tab/>
        <w:tab/>
        <w:t>ALJ Timothy Kenney</w:t>
      </w:r>
    </w:p>
    <w:p>
      <w:pPr>
        <w:pStyle w:val="BodyText"/>
        <w:spacing w:lineRule="auto" w:line="240"/>
        <w:ind w:hanging="0" w:end="0"/>
        <w:rPr/>
      </w:pPr>
      <w:r>
        <w:rPr/>
        <w:tab/>
        <w:t>Commissioner Geoffrey F. Brown</w:t>
        <w:tab/>
        <w:tab/>
        <w:t>ALJ Thomas R. Pulsifer</w:t>
      </w:r>
    </w:p>
    <w:p>
      <w:pPr>
        <w:pStyle w:val="BodyText"/>
        <w:spacing w:lineRule="auto" w:line="240"/>
        <w:ind w:hanging="0" w:end="0"/>
        <w:rPr/>
      </w:pPr>
      <w:r>
        <w:rPr/>
        <w:tab/>
        <w:t>Commissioner Richard A. Bilas</w:t>
        <w:tab/>
        <w:tab/>
      </w:r>
    </w:p>
    <w:p>
      <w:pPr>
        <w:pStyle w:val="BodyText"/>
        <w:spacing w:lineRule="auto" w:line="240"/>
        <w:ind w:hanging="0" w:end="0"/>
        <w:rPr/>
      </w:pPr>
      <w:r>
        <w:rPr/>
        <w:tab/>
        <w:t>Commissioner Henry M. Duque</w:t>
        <w:tab/>
        <w:tab/>
      </w:r>
    </w:p>
    <w:p>
      <w:pPr>
        <w:pStyle w:val="BodyText"/>
        <w:spacing w:lineRule="auto" w:line="240"/>
        <w:ind w:hanging="0" w:end="0"/>
        <w:rPr/>
      </w:pPr>
      <w:r>
        <w:rPr/>
        <w:tab/>
        <w:t>Commissioner Carl W. Wood</w:t>
      </w:r>
    </w:p>
    <w:p>
      <w:pPr>
        <w:pStyle w:val="BodyText"/>
        <w:spacing w:lineRule="auto" w:line="240"/>
        <w:rPr/>
      </w:pPr>
      <w:r>
        <w:rPr/>
        <w:t>Paul Clanon, Energy Division</w:t>
      </w:r>
    </w:p>
    <w:p>
      <w:pPr>
        <w:pStyle w:val="BodyText"/>
        <w:spacing w:lineRule="auto" w:line="240"/>
        <w:rPr/>
      </w:pPr>
      <w:r>
        <w:rPr/>
        <w:t>Service List A. 00-11-038, A. 00-11-056, A. 00-10-028</w:t>
      </w:r>
    </w:p>
    <w:p>
      <w:pPr>
        <w:pStyle w:val="Normal"/>
        <w:spacing w:before="1480" w:after="0"/>
        <w:jc w:val="center"/>
        <w:rPr>
          <w:rFonts w:ascii="Times New Roman" w:hAnsi="Times New Roman" w:eastAsia="Times New Roman" w:cs="Times New Roman"/>
          <w:b/>
          <w:bCs/>
        </w:rPr>
      </w:pPr>
      <w:r>
        <w:rPr>
          <w:rFonts w:eastAsia="Times New Roman" w:cs="Times New Roman" w:ascii="Times New Roman" w:hAnsi="Times New Roman"/>
          <w:b/>
          <w:bCs/>
        </w:rPr>
        <w:t>BEFORE THE PUBLIC UTILITIES COMMISSION</w:t>
        <w:br/>
        <w:t>OF THE STATE OF CALIFORNIA</w:t>
      </w:r>
    </w:p>
    <w:p>
      <w:pPr>
        <w:pStyle w:val="Normal"/>
        <w:rPr>
          <w:rFonts w:ascii="Times New Roman" w:hAnsi="Times New Roman" w:eastAsia="Times New Roman" w:cs="Times New Roman"/>
          <w:b/>
          <w:bCs/>
        </w:rPr>
      </w:pPr>
      <w:r>
        <w:rPr>
          <w:rFonts w:eastAsia="Times New Roman" w:cs="Times New Roman" w:ascii="Times New Roman" w:hAnsi="Times New Roman"/>
          <w:b/>
          <w:bCs/>
        </w:rPr>
      </w:r>
    </w:p>
    <w:p>
      <w:pPr>
        <w:pStyle w:val="Normal"/>
        <w:rPr>
          <w:rFonts w:ascii="Times New Roman" w:hAnsi="Times New Roman" w:eastAsia="Times New Roman" w:cs="Times New Roman"/>
        </w:rPr>
      </w:pPr>
      <w:r>
        <w:rPr>
          <w:rFonts w:eastAsia="Times New Roman" w:cs="Times New Roman" w:ascii="Times New Roman" w:hAnsi="Times New Roman"/>
        </w:rPr>
      </w:r>
    </w:p>
    <w:tbl>
      <w:tblPr>
        <w:tblW w:w="9576" w:type="dxa"/>
        <w:jc w:val="start"/>
        <w:tblInd w:w="0" w:type="dxa"/>
        <w:tblLayout w:type="fixed"/>
        <w:tblCellMar>
          <w:top w:w="0" w:type="dxa"/>
          <w:start w:w="108" w:type="dxa"/>
          <w:bottom w:w="0" w:type="dxa"/>
          <w:end w:w="108" w:type="dxa"/>
        </w:tblCellMar>
      </w:tblPr>
      <w:tblGrid>
        <w:gridCol w:w="4608"/>
        <w:gridCol w:w="4968"/>
      </w:tblGrid>
      <w:tr>
        <w:trPr/>
        <w:tc>
          <w:tcPr>
            <w:tcW w:w="4608" w:type="dxa"/>
            <w:tcBorders>
              <w:end w:val="single" w:sz="6" w:space="0" w:color="000000"/>
            </w:tcBorders>
          </w:tcPr>
          <w:p>
            <w:pPr>
              <w:pStyle w:val="Normal"/>
              <w:tabs>
                <w:tab w:val="clear" w:pos="720"/>
                <w:tab w:val="left" w:pos="1440" w:leader="none"/>
              </w:tabs>
              <w:rPr>
                <w:rFonts w:ascii="Times New Roman" w:hAnsi="Times New Roman" w:eastAsia="Times New Roman" w:cs="Times New Roman"/>
              </w:rPr>
            </w:pPr>
            <w:r>
              <w:rPr>
                <w:rFonts w:eastAsia="Times New Roman" w:cs="Times New Roman" w:ascii="Times New Roman" w:hAnsi="Times New Roman"/>
              </w:rPr>
              <w:t>Application of Southern California Edison Company (U338-E for Authority to Institute a Rate Stabilization Plan with a Rate Increase and End of Rate Freeze Tariffs.</w:t>
            </w:r>
          </w:p>
          <w:p>
            <w:pPr>
              <w:pStyle w:val="Normal"/>
              <w:tabs>
                <w:tab w:val="clear" w:pos="720"/>
                <w:tab w:val="left" w:pos="1440" w:leader="none"/>
              </w:tabs>
              <w:rPr>
                <w:rFonts w:ascii="Times New Roman" w:hAnsi="Times New Roman" w:eastAsia="Times New Roman" w:cs="Times New Roman"/>
              </w:rPr>
            </w:pPr>
            <w:r>
              <w:rPr>
                <w:rFonts w:eastAsia="Times New Roman" w:cs="Times New Roman" w:ascii="Times New Roman" w:hAnsi="Times New Roman"/>
              </w:rPr>
            </w:r>
          </w:p>
        </w:tc>
        <w:tc>
          <w:tcPr>
            <w:tcW w:w="4968" w:type="dxa"/>
            <w:tcBorders/>
          </w:tcPr>
          <w:p>
            <w:pPr>
              <w:pStyle w:val="Normal"/>
              <w:snapToGrid w:val="false"/>
              <w:ind w:start="252" w:end="0"/>
              <w:rPr>
                <w:rFonts w:ascii="Times New Roman" w:hAnsi="Times New Roman" w:eastAsia="Times New Roman" w:cs="Times New Roman"/>
              </w:rPr>
            </w:pPr>
            <w:r>
              <w:rPr>
                <w:rFonts w:eastAsia="Times New Roman" w:cs="Times New Roman" w:ascii="Times New Roman" w:hAnsi="Times New Roman"/>
              </w:rPr>
            </w:r>
          </w:p>
          <w:p>
            <w:pPr>
              <w:pStyle w:val="Normal"/>
              <w:ind w:start="252" w:end="0"/>
              <w:rPr>
                <w:rFonts w:ascii="Times New Roman" w:hAnsi="Times New Roman" w:eastAsia="Times New Roman" w:cs="Times New Roman"/>
              </w:rPr>
            </w:pPr>
            <w:r>
              <w:rPr>
                <w:rFonts w:eastAsia="Times New Roman" w:cs="Times New Roman" w:ascii="Times New Roman" w:hAnsi="Times New Roman"/>
              </w:rPr>
            </w:r>
          </w:p>
          <w:p>
            <w:pPr>
              <w:pStyle w:val="Normal"/>
              <w:ind w:start="252" w:end="0"/>
              <w:rPr>
                <w:rFonts w:ascii="Times New Roman" w:hAnsi="Times New Roman" w:eastAsia="Times New Roman" w:cs="Times New Roman"/>
              </w:rPr>
            </w:pPr>
            <w:r>
              <w:rPr>
                <w:rFonts w:eastAsia="Times New Roman" w:cs="Times New Roman" w:ascii="Times New Roman" w:hAnsi="Times New Roman"/>
              </w:rPr>
              <w:t>Application 00-11-038</w:t>
            </w:r>
          </w:p>
          <w:p>
            <w:pPr>
              <w:pStyle w:val="Normal"/>
              <w:ind w:start="252" w:end="0"/>
              <w:rPr>
                <w:rFonts w:ascii="Times New Roman" w:hAnsi="Times New Roman" w:eastAsia="Times New Roman" w:cs="Times New Roman"/>
              </w:rPr>
            </w:pPr>
            <w:r>
              <w:rPr>
                <w:rFonts w:eastAsia="Times New Roman" w:cs="Times New Roman" w:ascii="Times New Roman" w:hAnsi="Times New Roman"/>
              </w:rPr>
            </w:r>
          </w:p>
          <w:p>
            <w:pPr>
              <w:pStyle w:val="Normal"/>
              <w:ind w:start="252" w:end="0"/>
              <w:rPr>
                <w:rFonts w:ascii="Times New Roman" w:hAnsi="Times New Roman" w:eastAsia="Times New Roman" w:cs="Times New Roman"/>
              </w:rPr>
            </w:pPr>
            <w:r>
              <w:rPr>
                <w:rFonts w:eastAsia="Times New Roman" w:cs="Times New Roman" w:ascii="Times New Roman" w:hAnsi="Times New Roman"/>
              </w:rPr>
            </w:r>
          </w:p>
        </w:tc>
      </w:tr>
      <w:tr>
        <w:trPr/>
        <w:tc>
          <w:tcPr>
            <w:tcW w:w="4608" w:type="dxa"/>
            <w:tcBorders>
              <w:top w:val="single" w:sz="6" w:space="0" w:color="000000"/>
              <w:bottom w:val="single" w:sz="6" w:space="0" w:color="000000"/>
              <w:end w:val="single" w:sz="6" w:space="0" w:color="000000"/>
            </w:tcBorders>
          </w:tcPr>
          <w:p>
            <w:pPr>
              <w:pStyle w:val="Normal"/>
              <w:tabs>
                <w:tab w:val="clear" w:pos="720"/>
                <w:tab w:val="left" w:pos="1440" w:leader="none"/>
              </w:tabs>
              <w:snapToGrid w:val="false"/>
              <w:rPr>
                <w:rFonts w:ascii="Times New Roman" w:hAnsi="Times New Roman" w:eastAsia="Times New Roman" w:cs="Times New Roman"/>
              </w:rPr>
            </w:pPr>
            <w:r>
              <w:rPr>
                <w:rFonts w:eastAsia="Times New Roman" w:cs="Times New Roman" w:ascii="Times New Roman" w:hAnsi="Times New Roman"/>
              </w:rPr>
            </w:r>
          </w:p>
          <w:p>
            <w:pPr>
              <w:pStyle w:val="Normal"/>
              <w:tabs>
                <w:tab w:val="clear" w:pos="720"/>
                <w:tab w:val="left" w:pos="1440" w:leader="none"/>
              </w:tabs>
              <w:rPr>
                <w:rFonts w:ascii="Times New Roman" w:hAnsi="Times New Roman" w:eastAsia="Times New Roman" w:cs="Times New Roman"/>
              </w:rPr>
            </w:pPr>
            <w:r>
              <w:rPr>
                <w:rFonts w:eastAsia="Times New Roman" w:cs="Times New Roman" w:ascii="Times New Roman" w:hAnsi="Times New Roman"/>
              </w:rPr>
              <w:t>Emergency Application of Pacific Case and Electric Company (U 39 E) to Adopt a Rate Stabilization Plan.</w:t>
              <w:br/>
            </w:r>
          </w:p>
        </w:tc>
        <w:tc>
          <w:tcPr>
            <w:tcW w:w="4968" w:type="dxa"/>
            <w:tcBorders/>
          </w:tcPr>
          <w:p>
            <w:pPr>
              <w:pStyle w:val="Normal"/>
              <w:snapToGrid w:val="false"/>
              <w:ind w:start="252" w:end="0"/>
              <w:rPr>
                <w:rFonts w:ascii="Times New Roman" w:hAnsi="Times New Roman" w:eastAsia="Times New Roman" w:cs="Times New Roman"/>
              </w:rPr>
            </w:pPr>
            <w:r>
              <w:rPr>
                <w:rFonts w:eastAsia="Times New Roman" w:cs="Times New Roman" w:ascii="Times New Roman" w:hAnsi="Times New Roman"/>
              </w:rPr>
            </w:r>
          </w:p>
          <w:p>
            <w:pPr>
              <w:pStyle w:val="Normal"/>
              <w:ind w:start="252" w:end="0"/>
              <w:rPr>
                <w:rFonts w:ascii="Times New Roman" w:hAnsi="Times New Roman" w:eastAsia="Times New Roman" w:cs="Times New Roman"/>
              </w:rPr>
            </w:pPr>
            <w:r>
              <w:rPr>
                <w:rFonts w:eastAsia="Times New Roman" w:cs="Times New Roman" w:ascii="Times New Roman" w:hAnsi="Times New Roman"/>
              </w:rPr>
            </w:r>
          </w:p>
          <w:p>
            <w:pPr>
              <w:pStyle w:val="Normal"/>
              <w:ind w:start="252" w:end="0"/>
              <w:rPr>
                <w:rFonts w:ascii="Times New Roman" w:hAnsi="Times New Roman" w:eastAsia="Times New Roman" w:cs="Times New Roman"/>
              </w:rPr>
            </w:pPr>
            <w:r>
              <w:rPr>
                <w:rFonts w:eastAsia="Times New Roman" w:cs="Times New Roman" w:ascii="Times New Roman" w:hAnsi="Times New Roman"/>
              </w:rPr>
              <w:t>Application 00-11-056</w:t>
            </w:r>
          </w:p>
        </w:tc>
      </w:tr>
      <w:tr>
        <w:trPr/>
        <w:tc>
          <w:tcPr>
            <w:tcW w:w="4608" w:type="dxa"/>
            <w:tcBorders>
              <w:bottom w:val="single" w:sz="6" w:space="0" w:color="000000"/>
              <w:end w:val="single" w:sz="6" w:space="0" w:color="000000"/>
            </w:tcBorders>
          </w:tcPr>
          <w:p>
            <w:pPr>
              <w:pStyle w:val="Normal"/>
              <w:tabs>
                <w:tab w:val="clear" w:pos="720"/>
                <w:tab w:val="left" w:pos="1440" w:leader="none"/>
              </w:tabs>
              <w:snapToGrid w:val="false"/>
              <w:rPr>
                <w:rFonts w:ascii="Times New Roman" w:hAnsi="Times New Roman" w:eastAsia="Times New Roman" w:cs="Times New Roman"/>
              </w:rPr>
            </w:pPr>
            <w:r>
              <w:rPr>
                <w:rFonts w:eastAsia="Times New Roman" w:cs="Times New Roman" w:ascii="Times New Roman" w:hAnsi="Times New Roman"/>
              </w:rPr>
            </w:r>
          </w:p>
          <w:p>
            <w:pPr>
              <w:pStyle w:val="Normal"/>
              <w:tabs>
                <w:tab w:val="clear" w:pos="720"/>
                <w:tab w:val="left" w:pos="1440" w:leader="none"/>
              </w:tabs>
              <w:rPr>
                <w:rFonts w:ascii="Times New Roman" w:hAnsi="Times New Roman" w:eastAsia="Times New Roman" w:cs="Times New Roman"/>
              </w:rPr>
            </w:pPr>
            <w:r>
              <w:rPr>
                <w:rFonts w:eastAsia="Times New Roman" w:cs="Times New Roman" w:ascii="Times New Roman" w:hAnsi="Times New Roman"/>
              </w:rPr>
              <w:t>Petition of The Utility Reform Network for Modification of Resolution E-3527.</w:t>
              <w:br/>
            </w:r>
          </w:p>
        </w:tc>
        <w:tc>
          <w:tcPr>
            <w:tcW w:w="4968" w:type="dxa"/>
            <w:tcBorders/>
          </w:tcPr>
          <w:p>
            <w:pPr>
              <w:pStyle w:val="Normal"/>
              <w:ind w:start="252" w:end="0"/>
              <w:rPr>
                <w:rFonts w:ascii="Times New Roman" w:hAnsi="Times New Roman" w:eastAsia="Times New Roman" w:cs="Times New Roman"/>
              </w:rPr>
            </w:pPr>
            <w:r>
              <w:rPr>
                <w:rFonts w:eastAsia="Times New Roman" w:cs="Times New Roman" w:ascii="Times New Roman" w:hAnsi="Times New Roman"/>
              </w:rPr>
              <w:br/>
              <w:t>Application 00-10-028</w:t>
            </w:r>
          </w:p>
        </w:tc>
      </w:tr>
    </w:tbl>
    <w:p>
      <w:pPr>
        <w:pStyle w:val="Normal"/>
        <w:rPr>
          <w:rFonts w:ascii="Times New Roman" w:hAnsi="Times New Roman" w:eastAsia="Times New Roman" w:cs="Times New Roman"/>
        </w:rPr>
      </w:pPr>
      <w:r>
        <w:rPr>
          <w:rFonts w:eastAsia="Times New Roman" w:cs="Times New Roman" w:ascii="Times New Roman" w:hAnsi="Times New Roman"/>
        </w:rPr>
      </w:r>
    </w:p>
    <w:p>
      <w:pPr>
        <w:pStyle w:val="Normal"/>
        <w:rPr>
          <w:rFonts w:ascii="Times New Roman" w:hAnsi="Times New Roman" w:eastAsia="Times New Roman" w:cs="Times New Roman"/>
        </w:rPr>
      </w:pPr>
      <w:r>
        <w:rPr>
          <w:rFonts w:eastAsia="Times New Roman" w:cs="Times New Roman" w:ascii="Times New Roman" w:hAnsi="Times New Roman"/>
        </w:rPr>
      </w:r>
    </w:p>
    <w:p>
      <w:pPr>
        <w:pStyle w:val="Normal"/>
        <w:jc w:val="center"/>
        <w:rPr>
          <w:rFonts w:ascii="Times New Roman" w:hAnsi="Times New Roman" w:eastAsia="Times New Roman" w:cs="Times New Roman"/>
          <w:b/>
          <w:bCs/>
        </w:rPr>
      </w:pPr>
      <w:r>
        <w:rPr>
          <w:rFonts w:eastAsia="Times New Roman" w:cs="Times New Roman" w:ascii="Times New Roman" w:hAnsi="Times New Roman"/>
          <w:b/>
          <w:bCs/>
        </w:rPr>
        <w:t>MOTION OF PACIFIC GAS AND ELECTRIC COMPANY TO POSTPONE COMMISSION CONSIDERATION OF DWR-RELATED DRAFT DECISIONS IN LIGHT OF NEW INFORMATION FROM STATE TREASURER</w:t>
      </w:r>
    </w:p>
    <w:p>
      <w:pPr>
        <w:pStyle w:val="Normal"/>
        <w:rPr>
          <w:rFonts w:ascii="Times New Roman" w:hAnsi="Times New Roman" w:eastAsia="Times New Roman" w:cs="Times New Roman"/>
          <w:b/>
          <w:bCs/>
        </w:rPr>
      </w:pPr>
      <w:r>
        <w:rPr>
          <w:rFonts w:eastAsia="Times New Roman" w:cs="Times New Roman" w:ascii="Times New Roman" w:hAnsi="Times New Roman"/>
          <w:b/>
          <w:bCs/>
        </w:rPr>
      </w:r>
    </w:p>
    <w:p>
      <w:pPr>
        <w:pStyle w:val="Normal"/>
        <w:rPr>
          <w:rFonts w:ascii="Times New Roman" w:hAnsi="Times New Roman" w:eastAsia="Times New Roman" w:cs="Times New Roman"/>
        </w:rPr>
      </w:pPr>
      <w:r>
        <w:rPr>
          <w:rFonts w:eastAsia="Times New Roman" w:cs="Times New Roman" w:ascii="Times New Roman" w:hAnsi="Times New Roman"/>
        </w:rPr>
      </w:r>
    </w:p>
    <w:p>
      <w:pPr>
        <w:pStyle w:val="Normal"/>
        <w:rPr>
          <w:rFonts w:ascii="Times New Roman" w:hAnsi="Times New Roman" w:eastAsia="Times New Roman" w:cs="Times New Roman"/>
        </w:rPr>
      </w:pPr>
      <w:r>
        <w:rPr>
          <w:rFonts w:eastAsia="Times New Roman" w:cs="Times New Roman" w:ascii="Times New Roman" w:hAnsi="Times New Roman"/>
        </w:rPr>
      </w:r>
    </w:p>
    <w:p>
      <w:pPr>
        <w:pStyle w:val="Normal"/>
        <w:rPr>
          <w:rFonts w:ascii="Times New Roman" w:hAnsi="Times New Roman" w:eastAsia="Times New Roman" w:cs="Times New Roman"/>
        </w:rPr>
      </w:pPr>
      <w:r>
        <w:rPr>
          <w:rFonts w:eastAsia="Times New Roman" w:cs="Times New Roman" w:ascii="Times New Roman" w:hAnsi="Times New Roman"/>
        </w:rPr>
      </w:r>
    </w:p>
    <w:p>
      <w:pPr>
        <w:pStyle w:val="Normal"/>
        <w:rPr>
          <w:rFonts w:ascii="Times New Roman" w:hAnsi="Times New Roman" w:eastAsia="Times New Roman" w:cs="Times New Roman"/>
        </w:rPr>
      </w:pPr>
      <w:r>
        <w:rPr>
          <w:rFonts w:eastAsia="Times New Roman" w:cs="Times New Roman" w:ascii="Times New Roman" w:hAnsi="Times New Roman"/>
        </w:rPr>
      </w:r>
    </w:p>
    <w:p>
      <w:pPr>
        <w:pStyle w:val="Normal"/>
        <w:rPr>
          <w:rFonts w:ascii="Times New Roman" w:hAnsi="Times New Roman" w:eastAsia="Times New Roman" w:cs="Times New Roman"/>
        </w:rPr>
      </w:pPr>
      <w:r>
        <w:rPr>
          <w:rFonts w:eastAsia="Times New Roman" w:cs="Times New Roman" w:ascii="Times New Roman" w:hAnsi="Times New Roman"/>
        </w:rPr>
      </w:r>
    </w:p>
    <w:p>
      <w:pPr>
        <w:pStyle w:val="Normal"/>
        <w:ind w:start="3600" w:end="0"/>
        <w:rPr>
          <w:rFonts w:ascii="Times New Roman" w:hAnsi="Times New Roman" w:eastAsia="Times New Roman" w:cs="Times New Roman"/>
        </w:rPr>
      </w:pPr>
      <w:r>
        <w:rPr>
          <w:rFonts w:eastAsia="Times New Roman" w:cs="Times New Roman" w:ascii="Times New Roman" w:hAnsi="Times New Roman"/>
        </w:rPr>
        <w:t>ROGER J. PETERS</w:t>
      </w:r>
    </w:p>
    <w:p>
      <w:pPr>
        <w:pStyle w:val="Normal"/>
        <w:ind w:start="3600" w:end="0"/>
        <w:rPr>
          <w:rFonts w:ascii="Times New Roman" w:hAnsi="Times New Roman" w:eastAsia="Times New Roman" w:cs="Times New Roman"/>
        </w:rPr>
      </w:pPr>
      <w:r>
        <w:rPr>
          <w:rFonts w:eastAsia="Times New Roman" w:cs="Times New Roman" w:ascii="Times New Roman" w:hAnsi="Times New Roman"/>
        </w:rPr>
        <w:t>CHRISTOPHER J. WARNER</w:t>
      </w:r>
    </w:p>
    <w:p>
      <w:pPr>
        <w:pStyle w:val="Normal"/>
        <w:ind w:start="3600" w:end="0"/>
        <w:rPr>
          <w:rFonts w:ascii="Times New Roman" w:hAnsi="Times New Roman" w:eastAsia="Times New Roman" w:cs="Times New Roman"/>
        </w:rPr>
      </w:pPr>
      <w:r>
        <w:rPr>
          <w:rFonts w:eastAsia="Times New Roman" w:cs="Times New Roman" w:ascii="Times New Roman" w:hAnsi="Times New Roman"/>
        </w:rPr>
        <w:t>MARK R. HUFFMAN</w:t>
      </w:r>
    </w:p>
    <w:p>
      <w:pPr>
        <w:pStyle w:val="Normal"/>
        <w:ind w:start="3600" w:end="0"/>
        <w:rPr>
          <w:rFonts w:ascii="Times New Roman" w:hAnsi="Times New Roman" w:eastAsia="Times New Roman" w:cs="Times New Roman"/>
        </w:rPr>
      </w:pPr>
      <w:r>
        <w:rPr>
          <w:rFonts w:eastAsia="Times New Roman" w:cs="Times New Roman" w:ascii="Times New Roman" w:hAnsi="Times New Roman"/>
        </w:rPr>
      </w:r>
    </w:p>
    <w:p>
      <w:pPr>
        <w:pStyle w:val="Normal"/>
        <w:ind w:start="3600" w:end="0"/>
        <w:rPr>
          <w:rFonts w:ascii="Times New Roman" w:hAnsi="Times New Roman" w:eastAsia="Times New Roman" w:cs="Times New Roman"/>
        </w:rPr>
      </w:pPr>
      <w:r>
        <w:rPr>
          <w:rFonts w:eastAsia="Times New Roman" w:cs="Times New Roman" w:ascii="Times New Roman" w:hAnsi="Times New Roman"/>
        </w:rPr>
        <w:t>Law Department</w:t>
      </w:r>
    </w:p>
    <w:p>
      <w:pPr>
        <w:pStyle w:val="Normal"/>
        <w:ind w:start="3600" w:end="0"/>
        <w:rPr>
          <w:rFonts w:ascii="Times New Roman" w:hAnsi="Times New Roman" w:eastAsia="Times New Roman" w:cs="Times New Roman"/>
        </w:rPr>
      </w:pPr>
      <w:r>
        <w:rPr>
          <w:rFonts w:eastAsia="Times New Roman" w:cs="Times New Roman" w:ascii="Times New Roman" w:hAnsi="Times New Roman"/>
        </w:rPr>
        <w:t>Pacific Gas and Electric Company</w:t>
      </w:r>
    </w:p>
    <w:p>
      <w:pPr>
        <w:pStyle w:val="Normal"/>
        <w:ind w:start="3600" w:end="0"/>
        <w:rPr>
          <w:rFonts w:ascii="Times New Roman" w:hAnsi="Times New Roman" w:eastAsia="Times New Roman" w:cs="Times New Roman"/>
        </w:rPr>
      </w:pPr>
      <w:r>
        <w:rPr>
          <w:rFonts w:eastAsia="Times New Roman" w:cs="Times New Roman" w:ascii="Times New Roman" w:hAnsi="Times New Roman"/>
        </w:rPr>
        <w:t>Post Office Box 7442</w:t>
      </w:r>
    </w:p>
    <w:p>
      <w:pPr>
        <w:pStyle w:val="Normal"/>
        <w:ind w:start="3600" w:end="0"/>
        <w:rPr>
          <w:rFonts w:ascii="Times New Roman" w:hAnsi="Times New Roman" w:eastAsia="Times New Roman" w:cs="Times New Roman"/>
        </w:rPr>
      </w:pPr>
      <w:r>
        <w:rPr>
          <w:rFonts w:eastAsia="Times New Roman" w:cs="Times New Roman" w:ascii="Times New Roman" w:hAnsi="Times New Roman"/>
        </w:rPr>
        <w:t>San Francisco, CA  94120</w:t>
      </w:r>
    </w:p>
    <w:p>
      <w:pPr>
        <w:pStyle w:val="Normal"/>
        <w:ind w:start="3600" w:end="0"/>
        <w:rPr>
          <w:rFonts w:ascii="Times New Roman" w:hAnsi="Times New Roman" w:eastAsia="Times New Roman" w:cs="Times New Roman"/>
        </w:rPr>
      </w:pPr>
      <w:r>
        <w:rPr>
          <w:rFonts w:eastAsia="Times New Roman" w:cs="Times New Roman" w:ascii="Times New Roman" w:hAnsi="Times New Roman"/>
        </w:rPr>
        <w:t>Telephone: (415) 973-3842</w:t>
      </w:r>
    </w:p>
    <w:p>
      <w:pPr>
        <w:pStyle w:val="Normal"/>
        <w:ind w:start="3600" w:end="0"/>
        <w:rPr>
          <w:rFonts w:ascii="Times New Roman" w:hAnsi="Times New Roman" w:eastAsia="Times New Roman" w:cs="Times New Roman"/>
        </w:rPr>
      </w:pPr>
      <w:r>
        <w:rPr>
          <w:rFonts w:eastAsia="Times New Roman" w:cs="Times New Roman" w:ascii="Times New Roman" w:hAnsi="Times New Roman"/>
        </w:rPr>
        <w:t>E-mail:  CJW5@pge.com</w:t>
      </w:r>
    </w:p>
    <w:p>
      <w:pPr>
        <w:pStyle w:val="Normal"/>
        <w:ind w:start="3600" w:end="0"/>
        <w:rPr>
          <w:rFonts w:ascii="Times New Roman" w:hAnsi="Times New Roman" w:eastAsia="Times New Roman" w:cs="Times New Roman"/>
        </w:rPr>
      </w:pPr>
      <w:r>
        <w:rPr>
          <w:rFonts w:eastAsia="Times New Roman" w:cs="Times New Roman" w:ascii="Times New Roman" w:hAnsi="Times New Roman"/>
        </w:rPr>
      </w:r>
    </w:p>
    <w:p>
      <w:pPr>
        <w:pStyle w:val="Normal"/>
        <w:ind w:start="3600" w:end="0"/>
        <w:rPr>
          <w:rFonts w:ascii="Times New Roman" w:hAnsi="Times New Roman" w:eastAsia="Times New Roman" w:cs="Times New Roman"/>
        </w:rPr>
      </w:pPr>
      <w:r>
        <w:rPr>
          <w:rFonts w:eastAsia="Times New Roman" w:cs="Times New Roman" w:ascii="Times New Roman" w:hAnsi="Times New Roman"/>
        </w:rPr>
        <w:t>Attorneys for</w:t>
      </w:r>
    </w:p>
    <w:p>
      <w:pPr>
        <w:pStyle w:val="Normal"/>
        <w:ind w:start="3600" w:end="0"/>
        <w:rPr>
          <w:rFonts w:ascii="Times New Roman" w:hAnsi="Times New Roman" w:eastAsia="Times New Roman" w:cs="Times New Roman"/>
        </w:rPr>
      </w:pPr>
      <w:r>
        <w:rPr>
          <w:rFonts w:eastAsia="Times New Roman" w:cs="Times New Roman" w:ascii="Times New Roman" w:hAnsi="Times New Roman"/>
        </w:rPr>
        <w:t>PACIFIC GAS AND ELECTRIC COMPANY</w:t>
      </w:r>
    </w:p>
    <w:p>
      <w:pPr>
        <w:pStyle w:val="Normal"/>
        <w:ind w:start="3240" w:end="0"/>
        <w:rPr>
          <w:rFonts w:ascii="Times New Roman" w:hAnsi="Times New Roman" w:eastAsia="Times New Roman" w:cs="Times New Roman"/>
        </w:rPr>
      </w:pPr>
      <w:r>
        <w:rPr>
          <w:rFonts w:eastAsia="Times New Roman" w:cs="Times New Roman" w:ascii="Times New Roman" w:hAnsi="Times New Roman"/>
        </w:rPr>
      </w:r>
    </w:p>
    <w:p>
      <w:pPr>
        <w:pStyle w:val="Normal"/>
        <w:rPr>
          <w:rFonts w:ascii="Times New Roman" w:hAnsi="Times New Roman" w:eastAsia="Times New Roman" w:cs="Times New Roman"/>
        </w:rPr>
      </w:pPr>
      <w:r>
        <w:rPr>
          <w:rFonts w:eastAsia="Times New Roman" w:cs="Times New Roman" w:ascii="Times New Roman" w:hAnsi="Times New Roman"/>
        </w:rPr>
        <w:t>September 14, 2001</w:t>
      </w:r>
      <w:r>
        <w:br w:type="page"/>
      </w:r>
    </w:p>
    <w:p>
      <w:pPr>
        <w:pStyle w:val="Normal"/>
        <w:jc w:val="center"/>
        <w:rPr>
          <w:rFonts w:ascii="Times New Roman" w:hAnsi="Times New Roman" w:eastAsia="Times New Roman" w:cs="Times New Roman"/>
          <w:b/>
          <w:bCs/>
        </w:rPr>
      </w:pPr>
      <w:r>
        <w:rPr>
          <w:rFonts w:eastAsia="Times New Roman" w:cs="Times New Roman" w:ascii="Times New Roman" w:hAnsi="Times New Roman"/>
          <w:b/>
          <w:bCs/>
        </w:rPr>
        <w:t>BEFORE THE PUBLIC UTILITIES COMMISSION</w:t>
        <w:br/>
        <w:t>OF THE STATE OF CALIFORNIA</w:t>
      </w:r>
    </w:p>
    <w:p>
      <w:pPr>
        <w:pStyle w:val="Normal"/>
        <w:rPr>
          <w:rFonts w:ascii="Times New Roman" w:hAnsi="Times New Roman" w:eastAsia="Times New Roman" w:cs="Times New Roman"/>
          <w:b/>
          <w:bCs/>
        </w:rPr>
      </w:pPr>
      <w:r>
        <w:rPr>
          <w:rFonts w:eastAsia="Times New Roman" w:cs="Times New Roman" w:ascii="Times New Roman" w:hAnsi="Times New Roman"/>
          <w:b/>
          <w:bCs/>
        </w:rPr>
      </w:r>
    </w:p>
    <w:p>
      <w:pPr>
        <w:pStyle w:val="Normal"/>
        <w:jc w:val="center"/>
        <w:rPr>
          <w:rFonts w:ascii="Times New Roman" w:hAnsi="Times New Roman" w:eastAsia="Times New Roman" w:cs="Times New Roman"/>
          <w:b/>
          <w:bCs/>
        </w:rPr>
      </w:pPr>
      <w:r>
        <w:rPr>
          <w:rFonts w:eastAsia="Times New Roman" w:cs="Times New Roman" w:ascii="Times New Roman" w:hAnsi="Times New Roman"/>
          <w:b/>
          <w:bCs/>
        </w:rPr>
      </w:r>
    </w:p>
    <w:tbl>
      <w:tblPr>
        <w:tblW w:w="9576" w:type="dxa"/>
        <w:jc w:val="start"/>
        <w:tblInd w:w="0" w:type="dxa"/>
        <w:tblLayout w:type="fixed"/>
        <w:tblCellMar>
          <w:top w:w="0" w:type="dxa"/>
          <w:start w:w="108" w:type="dxa"/>
          <w:bottom w:w="0" w:type="dxa"/>
          <w:end w:w="108" w:type="dxa"/>
        </w:tblCellMar>
      </w:tblPr>
      <w:tblGrid>
        <w:gridCol w:w="4608"/>
        <w:gridCol w:w="4968"/>
      </w:tblGrid>
      <w:tr>
        <w:trPr/>
        <w:tc>
          <w:tcPr>
            <w:tcW w:w="4608" w:type="dxa"/>
            <w:tcBorders>
              <w:end w:val="single" w:sz="6" w:space="0" w:color="000000"/>
            </w:tcBorders>
          </w:tcPr>
          <w:p>
            <w:pPr>
              <w:pStyle w:val="Normal"/>
              <w:tabs>
                <w:tab w:val="clear" w:pos="720"/>
                <w:tab w:val="left" w:pos="1440" w:leader="none"/>
              </w:tabs>
              <w:rPr>
                <w:rFonts w:ascii="Times New Roman" w:hAnsi="Times New Roman" w:eastAsia="Times New Roman" w:cs="Times New Roman"/>
              </w:rPr>
            </w:pPr>
            <w:r>
              <w:rPr>
                <w:rFonts w:eastAsia="Times New Roman" w:cs="Times New Roman" w:ascii="Times New Roman" w:hAnsi="Times New Roman"/>
              </w:rPr>
              <w:t>Application of Southern California Edison Company (U338-E) for Authority to Institute a Rate Stabilization Plan with a Rate Increase and End of Rate Freeze Tariffs.</w:t>
            </w:r>
          </w:p>
        </w:tc>
        <w:tc>
          <w:tcPr>
            <w:tcW w:w="4968" w:type="dxa"/>
            <w:tcBorders/>
          </w:tcPr>
          <w:p>
            <w:pPr>
              <w:pStyle w:val="Normal"/>
              <w:snapToGrid w:val="false"/>
              <w:ind w:start="252" w:end="0"/>
              <w:rPr>
                <w:rFonts w:ascii="Times New Roman" w:hAnsi="Times New Roman" w:eastAsia="Times New Roman" w:cs="Times New Roman"/>
              </w:rPr>
            </w:pPr>
            <w:r>
              <w:rPr>
                <w:rFonts w:eastAsia="Times New Roman" w:cs="Times New Roman" w:ascii="Times New Roman" w:hAnsi="Times New Roman"/>
              </w:rPr>
            </w:r>
          </w:p>
          <w:p>
            <w:pPr>
              <w:pStyle w:val="Normal"/>
              <w:ind w:start="252" w:end="0"/>
              <w:rPr>
                <w:rFonts w:ascii="Times New Roman" w:hAnsi="Times New Roman" w:eastAsia="Times New Roman" w:cs="Times New Roman"/>
              </w:rPr>
            </w:pPr>
            <w:r>
              <w:rPr>
                <w:rFonts w:eastAsia="Times New Roman" w:cs="Times New Roman" w:ascii="Times New Roman" w:hAnsi="Times New Roman"/>
              </w:rPr>
            </w:r>
          </w:p>
          <w:p>
            <w:pPr>
              <w:pStyle w:val="Normal"/>
              <w:ind w:start="252" w:end="0"/>
              <w:rPr>
                <w:rFonts w:ascii="Times New Roman" w:hAnsi="Times New Roman" w:eastAsia="Times New Roman" w:cs="Times New Roman"/>
              </w:rPr>
            </w:pPr>
            <w:r>
              <w:rPr>
                <w:rFonts w:eastAsia="Times New Roman" w:cs="Times New Roman" w:ascii="Times New Roman" w:hAnsi="Times New Roman"/>
              </w:rPr>
              <w:t>Application 00-11-038</w:t>
            </w:r>
          </w:p>
          <w:p>
            <w:pPr>
              <w:pStyle w:val="Normal"/>
              <w:ind w:start="252" w:end="0"/>
              <w:rPr>
                <w:rFonts w:ascii="Times New Roman" w:hAnsi="Times New Roman" w:eastAsia="Times New Roman" w:cs="Times New Roman"/>
              </w:rPr>
            </w:pPr>
            <w:r>
              <w:rPr>
                <w:rFonts w:eastAsia="Times New Roman" w:cs="Times New Roman" w:ascii="Times New Roman" w:hAnsi="Times New Roman"/>
              </w:rPr>
            </w:r>
          </w:p>
          <w:p>
            <w:pPr>
              <w:pStyle w:val="Normal"/>
              <w:ind w:start="252" w:end="0"/>
              <w:rPr>
                <w:rFonts w:ascii="Times New Roman" w:hAnsi="Times New Roman" w:eastAsia="Times New Roman" w:cs="Times New Roman"/>
              </w:rPr>
            </w:pPr>
            <w:r>
              <w:rPr>
                <w:rFonts w:eastAsia="Times New Roman" w:cs="Times New Roman" w:ascii="Times New Roman" w:hAnsi="Times New Roman"/>
              </w:rPr>
            </w:r>
          </w:p>
        </w:tc>
      </w:tr>
      <w:tr>
        <w:trPr/>
        <w:tc>
          <w:tcPr>
            <w:tcW w:w="4608" w:type="dxa"/>
            <w:tcBorders>
              <w:top w:val="single" w:sz="6" w:space="0" w:color="000000"/>
              <w:bottom w:val="single" w:sz="6" w:space="0" w:color="000000"/>
              <w:end w:val="single" w:sz="6" w:space="0" w:color="000000"/>
            </w:tcBorders>
          </w:tcPr>
          <w:p>
            <w:pPr>
              <w:pStyle w:val="Normal"/>
              <w:tabs>
                <w:tab w:val="clear" w:pos="720"/>
                <w:tab w:val="left" w:pos="1440" w:leader="none"/>
              </w:tabs>
              <w:snapToGrid w:val="false"/>
              <w:rPr>
                <w:rFonts w:ascii="Times New Roman" w:hAnsi="Times New Roman" w:eastAsia="Times New Roman" w:cs="Times New Roman"/>
              </w:rPr>
            </w:pPr>
            <w:r>
              <w:rPr>
                <w:rFonts w:eastAsia="Times New Roman" w:cs="Times New Roman" w:ascii="Times New Roman" w:hAnsi="Times New Roman"/>
              </w:rPr>
            </w:r>
          </w:p>
          <w:p>
            <w:pPr>
              <w:pStyle w:val="Normal"/>
              <w:tabs>
                <w:tab w:val="clear" w:pos="720"/>
                <w:tab w:val="left" w:pos="1440" w:leader="none"/>
              </w:tabs>
              <w:rPr>
                <w:rFonts w:ascii="Times New Roman" w:hAnsi="Times New Roman" w:eastAsia="Times New Roman" w:cs="Times New Roman"/>
              </w:rPr>
            </w:pPr>
            <w:r>
              <w:rPr>
                <w:rFonts w:eastAsia="Times New Roman" w:cs="Times New Roman" w:ascii="Times New Roman" w:hAnsi="Times New Roman"/>
              </w:rPr>
              <w:t>Emergency Application of Pacific Case and Electric Company (U 39 E) to Adopt a Rate Stabilization Plan.</w:t>
              <w:br/>
            </w:r>
          </w:p>
        </w:tc>
        <w:tc>
          <w:tcPr>
            <w:tcW w:w="4968" w:type="dxa"/>
            <w:tcBorders/>
          </w:tcPr>
          <w:p>
            <w:pPr>
              <w:pStyle w:val="Normal"/>
              <w:snapToGrid w:val="false"/>
              <w:ind w:start="252" w:end="0"/>
              <w:rPr>
                <w:rFonts w:ascii="Times New Roman" w:hAnsi="Times New Roman" w:eastAsia="Times New Roman" w:cs="Times New Roman"/>
              </w:rPr>
            </w:pPr>
            <w:r>
              <w:rPr>
                <w:rFonts w:eastAsia="Times New Roman" w:cs="Times New Roman" w:ascii="Times New Roman" w:hAnsi="Times New Roman"/>
              </w:rPr>
            </w:r>
          </w:p>
          <w:p>
            <w:pPr>
              <w:pStyle w:val="Normal"/>
              <w:ind w:start="252" w:end="0"/>
              <w:rPr>
                <w:rFonts w:ascii="Times New Roman" w:hAnsi="Times New Roman" w:eastAsia="Times New Roman" w:cs="Times New Roman"/>
              </w:rPr>
            </w:pPr>
            <w:r>
              <w:rPr>
                <w:rFonts w:eastAsia="Times New Roman" w:cs="Times New Roman" w:ascii="Times New Roman" w:hAnsi="Times New Roman"/>
              </w:rPr>
            </w:r>
          </w:p>
          <w:p>
            <w:pPr>
              <w:pStyle w:val="Normal"/>
              <w:ind w:start="252" w:end="0"/>
              <w:rPr>
                <w:rFonts w:ascii="Times New Roman" w:hAnsi="Times New Roman" w:eastAsia="Times New Roman" w:cs="Times New Roman"/>
              </w:rPr>
            </w:pPr>
            <w:r>
              <w:rPr>
                <w:rFonts w:eastAsia="Times New Roman" w:cs="Times New Roman" w:ascii="Times New Roman" w:hAnsi="Times New Roman"/>
              </w:rPr>
              <w:t>Application 00-11-056</w:t>
            </w:r>
          </w:p>
        </w:tc>
      </w:tr>
      <w:tr>
        <w:trPr/>
        <w:tc>
          <w:tcPr>
            <w:tcW w:w="4608" w:type="dxa"/>
            <w:tcBorders>
              <w:bottom w:val="single" w:sz="6" w:space="0" w:color="000000"/>
              <w:end w:val="single" w:sz="6" w:space="0" w:color="000000"/>
            </w:tcBorders>
          </w:tcPr>
          <w:p>
            <w:pPr>
              <w:pStyle w:val="Normal"/>
              <w:tabs>
                <w:tab w:val="clear" w:pos="720"/>
                <w:tab w:val="left" w:pos="1440" w:leader="none"/>
              </w:tabs>
              <w:rPr>
                <w:rFonts w:ascii="Times New Roman" w:hAnsi="Times New Roman" w:eastAsia="Times New Roman" w:cs="Times New Roman"/>
              </w:rPr>
            </w:pPr>
            <w:r>
              <w:rPr>
                <w:rFonts w:eastAsia="Times New Roman" w:cs="Times New Roman" w:ascii="Times New Roman" w:hAnsi="Times New Roman"/>
              </w:rPr>
              <w:br/>
              <w:t>Petition of The Utility Reform Network for Modification of Resolution E-3527.</w:t>
              <w:br/>
            </w:r>
          </w:p>
        </w:tc>
        <w:tc>
          <w:tcPr>
            <w:tcW w:w="4968" w:type="dxa"/>
            <w:tcBorders/>
          </w:tcPr>
          <w:p>
            <w:pPr>
              <w:pStyle w:val="Normal"/>
              <w:ind w:start="252" w:end="0"/>
              <w:rPr>
                <w:rFonts w:ascii="Times New Roman" w:hAnsi="Times New Roman" w:eastAsia="Times New Roman" w:cs="Times New Roman"/>
              </w:rPr>
            </w:pPr>
            <w:r>
              <w:rPr>
                <w:rFonts w:eastAsia="Times New Roman" w:cs="Times New Roman" w:ascii="Times New Roman" w:hAnsi="Times New Roman"/>
              </w:rPr>
              <w:br/>
              <w:t>Application 00-10-028</w:t>
            </w:r>
          </w:p>
        </w:tc>
      </w:tr>
    </w:tbl>
    <w:p>
      <w:pPr>
        <w:pStyle w:val="Normal"/>
        <w:jc w:val="center"/>
        <w:rPr>
          <w:rFonts w:ascii="Times New Roman" w:hAnsi="Times New Roman" w:eastAsia="Times New Roman" w:cs="Times New Roman"/>
          <w:b/>
          <w:bCs/>
        </w:rPr>
      </w:pPr>
      <w:r>
        <w:rPr>
          <w:rFonts w:eastAsia="Times New Roman" w:cs="Times New Roman" w:ascii="Times New Roman" w:hAnsi="Times New Roman"/>
          <w:b/>
          <w:bCs/>
        </w:rPr>
      </w:r>
    </w:p>
    <w:p>
      <w:pPr>
        <w:pStyle w:val="Normal"/>
        <w:jc w:val="center"/>
        <w:rPr>
          <w:rFonts w:ascii="Times New Roman" w:hAnsi="Times New Roman" w:eastAsia="Times New Roman" w:cs="Times New Roman"/>
          <w:b/>
          <w:bCs/>
        </w:rPr>
      </w:pPr>
      <w:r>
        <w:rPr>
          <w:rFonts w:eastAsia="Times New Roman" w:cs="Times New Roman" w:ascii="Times New Roman" w:hAnsi="Times New Roman"/>
          <w:b/>
          <w:bCs/>
        </w:rPr>
      </w:r>
    </w:p>
    <w:p>
      <w:pPr>
        <w:pStyle w:val="Normal"/>
        <w:jc w:val="center"/>
        <w:rPr>
          <w:rFonts w:ascii="Times New Roman" w:hAnsi="Times New Roman" w:eastAsia="Times New Roman" w:cs="Times New Roman"/>
          <w:b/>
          <w:bCs/>
        </w:rPr>
      </w:pPr>
      <w:r>
        <w:rPr>
          <w:rFonts w:eastAsia="Times New Roman" w:cs="Times New Roman" w:ascii="Times New Roman" w:hAnsi="Times New Roman"/>
          <w:b/>
          <w:bCs/>
        </w:rPr>
        <w:t>MOTION OF PACIFIC GAS AND ELECTRIC COMPANY TO POSTPONE COMMISSION CONSIDERATION OF DWR-RELATED DRAFT DECISIONS IN LIGHT OF NEW INFORMATION FROM STATE TREASURER</w:t>
      </w:r>
    </w:p>
    <w:p>
      <w:pPr>
        <w:pStyle w:val="Normal"/>
        <w:jc w:val="center"/>
        <w:rPr>
          <w:rFonts w:ascii="Times New Roman" w:hAnsi="Times New Roman" w:eastAsia="Times New Roman" w:cs="Times New Roman"/>
          <w:b/>
          <w:bCs/>
        </w:rPr>
      </w:pPr>
      <w:r>
        <w:rPr>
          <w:rFonts w:eastAsia="Times New Roman" w:cs="Times New Roman" w:ascii="Times New Roman" w:hAnsi="Times New Roman"/>
          <w:b/>
          <w:bCs/>
        </w:rPr>
      </w:r>
    </w:p>
    <w:p>
      <w:pPr>
        <w:pStyle w:val="BodyText"/>
        <w:rPr/>
      </w:pPr>
      <w:r>
        <w:rPr/>
        <w:t>Pursuant to Rule 45 of the California Public Utilities Commission’s (Commission’s or CPUC’s) Rules of Practice and Procedure, Pacific Gas and Electric Company (PG&amp;E) files its “Motion to Postpone Commission Consideration of DWR-Related Draft Decisions In Light of New Information from State Treasurer” (Motion).</w:t>
      </w:r>
      <w:r>
        <w:rPr>
          <w:rStyle w:val="FootnoteCharacters"/>
          <w:rStyle w:val="FootnoteReference"/>
        </w:rPr>
        <w:footnoteReference w:id="2"/>
      </w:r>
      <w:r>
        <w:rPr/>
        <w:t xml:space="preserve">  Because the Commission is scheduled to consider the DWR-Related Draft Decisions relating to the recovery of the power costs of the California Department of Water Resources (DWR) as early as next week, PG&amp;E asks that its Motion be granted immediately on an </w:t>
      </w:r>
      <w:r>
        <w:rPr>
          <w:i/>
          <w:iCs/>
        </w:rPr>
        <w:t>ex parte</w:t>
      </w:r>
      <w:r>
        <w:rPr/>
        <w:t xml:space="preserve"> basis, or otherwise be subject to a shortening of the comment period in order for it to be considered prior to the Commission’s next meeting at which the relevant Draft Decisions may be considered.</w:t>
      </w:r>
    </w:p>
    <w:p>
      <w:pPr>
        <w:pStyle w:val="BodyText"/>
        <w:rPr/>
      </w:pPr>
      <w:r>
        <w:rPr/>
        <w:t>The purpose of PG&amp;E’s Motion is to bring to the attention of the Commission and the parties new information from the Office of the State Treasurer relating to the schedule for issuance of DWR’s bonds under AB X1.  PG&amp;E believes this new information is directly relevant to the schedule the Commission is following in considering the DWR-related Draft Decisions.</w:t>
      </w:r>
    </w:p>
    <w:p>
      <w:pPr>
        <w:pStyle w:val="BodyText"/>
        <w:rPr/>
      </w:pPr>
      <w:r>
        <w:rPr/>
        <w:t>Throughout its proceedings on DWR-related matters in this docket over the last three months, the Commission apparently has been proceeding on the assumption that DWR’s bonds need to be issued no later than October or November of 2001, or else the State of California will face severe financial distress because of DWR’s failure to pay back the State’s General Fund for its borrowings under AB X1.</w:t>
      </w:r>
      <w:r>
        <w:rPr>
          <w:rStyle w:val="FootnoteCharacters"/>
          <w:rStyle w:val="FootnoteReference"/>
        </w:rPr>
        <w:footnoteReference w:id="3"/>
      </w:r>
      <w:r>
        <w:rPr/>
        <w:t xml:space="preserve">  In fact, earlier this week the spokeswoman for the Commission was quoted in the press as rejecting the request by PG&amp;E and many parties for hearings on the DWR revenue requirement, stating “There’s no likelihood of public participation hearings before the vote on the DWR rate order because there is not time.”</w:t>
      </w:r>
      <w:r>
        <w:rPr>
          <w:rStyle w:val="FootnoteCharacters"/>
          <w:rStyle w:val="FootnoteReference"/>
        </w:rPr>
        <w:footnoteReference w:id="4"/>
      </w:r>
    </w:p>
    <w:p>
      <w:pPr>
        <w:pStyle w:val="BodyText"/>
        <w:rPr/>
      </w:pPr>
      <w:r>
        <w:rPr/>
        <w:t xml:space="preserve">PG&amp;E believes that the Commission’s assumption that “there is not time” to hold hearings on DWR’s revenue requirement is false, and is belied by what the State of California recently has represented to financial markets regarding the schedule for issuance of DWR’s bonds.  In a preliminary official statement available on the Office of the State Treasurer’s website relating to $5.7 billion in revenue anticipation notes scheduled for issuance in the near future, </w:t>
      </w:r>
      <w:r>
        <w:rPr>
          <w:b/>
          <w:bCs/>
          <w:i/>
          <w:iCs/>
        </w:rPr>
        <w:t>the State Treasurer’s Office has represented that the State will have adequate cash reserves and funds to pay for DWR power as well as meet other State budget needs even if DWR does not issue its AB X1 bonds during the 2001-02 fiscal year</w:t>
      </w:r>
      <w:r>
        <w:rPr/>
        <w:t>:  The State Treasurer’s Office stated:</w:t>
      </w:r>
    </w:p>
    <w:p>
      <w:pPr>
        <w:pStyle w:val="BodyText"/>
        <w:spacing w:lineRule="exact" w:line="240"/>
        <w:ind w:hanging="0" w:start="720" w:end="0"/>
        <w:rPr/>
      </w:pPr>
      <w:r>
        <w:rPr/>
      </w:r>
    </w:p>
    <w:p>
      <w:pPr>
        <w:pStyle w:val="BodyText"/>
        <w:spacing w:lineRule="exact" w:line="240"/>
        <w:ind w:start="720" w:end="0"/>
        <w:rPr/>
      </w:pPr>
      <w:r>
        <w:rPr/>
        <w:t>“</w:t>
      </w:r>
      <w:r>
        <w:rPr/>
        <w:t xml:space="preserve">The Administration does not project that the State will need to make additional State loans to support the DWR Power Supply Program </w:t>
      </w:r>
      <w:r>
        <w:rPr>
          <w:i/>
          <w:iCs/>
        </w:rPr>
        <w:t>even if DWR does not issue its revenue bonds as planned during the 2001-02 fiscal year.</w:t>
      </w:r>
      <w:r>
        <w:rPr/>
        <w:t xml:space="preserve"> </w:t>
      </w:r>
      <w:r>
        <w:rPr>
          <w:i/>
          <w:iCs/>
        </w:rPr>
        <w:t>DWR projects that its funds on hand at the date of this Official Statement and projected revenues appear to be sufficient to finance the Power Supply Program.</w:t>
      </w:r>
      <w:r>
        <w:rPr/>
        <w:t xml:space="preserve"> The cash needs of the Power Supply Program depend, among other things, on future power purchase costs, the timing and amount of revenues from power sales, the availability of additional interim loans, and the timing of the issuance of revenue bonds by DWR. The Power Supply Act limits loans and advances from the State under the Power Supply Act after November 15, 2001, to amounts required for short-term cash flow purposes of no more than $500 million in the aggregate and requires repayment within 180 days. However, the Governor has the power under the Emergency Services Act to order additional loans or other advances to DWR if needed to further mitigate the emergency.</w:t>
      </w:r>
    </w:p>
    <w:p>
      <w:pPr>
        <w:pStyle w:val="BodyText"/>
        <w:spacing w:lineRule="exact" w:line="240"/>
        <w:ind w:hanging="0" w:start="720" w:end="0"/>
        <w:rPr/>
      </w:pPr>
      <w:r>
        <w:rPr/>
      </w:r>
    </w:p>
    <w:p>
      <w:pPr>
        <w:pStyle w:val="BodyText"/>
        <w:spacing w:lineRule="exact" w:line="240"/>
        <w:ind w:hanging="0" w:start="720" w:end="0"/>
        <w:rPr/>
      </w:pPr>
      <w:r>
        <w:rPr/>
        <w:tab/>
      </w:r>
      <w:r>
        <w:rPr>
          <w:i/>
          <w:iCs/>
        </w:rPr>
        <w:t>The State expects to maintain adequate cash reserves to fund its normal operations during the 2001-02 fiscal year whether or not DWR repays the State loans during the fiscal year.</w:t>
      </w:r>
      <w:r>
        <w:rPr/>
        <w:t xml:space="preserve"> The State plans to issue short-term notes to assure that adequate cash balances are maintained. The State has regularly issued short-term debt in the past to meet its cash flow needs. See ‘State Indebtedness—Cash Flow Borrowings.’”</w:t>
      </w:r>
    </w:p>
    <w:p>
      <w:pPr>
        <w:pStyle w:val="BodyText"/>
        <w:spacing w:lineRule="exact" w:line="240"/>
        <w:ind w:hanging="0" w:start="720" w:end="0"/>
        <w:rPr/>
      </w:pPr>
      <w:r>
        <w:rPr/>
      </w:r>
    </w:p>
    <w:p>
      <w:pPr>
        <w:pStyle w:val="BodyText"/>
        <w:ind w:hanging="0" w:end="0"/>
        <w:rPr/>
      </w:pPr>
      <w:r>
        <w:rPr/>
        <w:t>(California Treasurer’s Office, Preliminary Official Statement, August 31, 2001, $5,700,000,000 State of California 2001-02 Revenue Anticipation Notes, Appendix A, p. A-4) (emphasis added.) A copy of the relevant excerpts from Appendix A of the Preliminary Offical Statement is attached as Attachment 1 to this Motion.</w:t>
      </w:r>
    </w:p>
    <w:p>
      <w:pPr>
        <w:pStyle w:val="BodyText"/>
        <w:rPr/>
      </w:pPr>
      <w:r>
        <w:rPr/>
        <w:t>Given these facts and representations by the State Treasurer’s Office to bond and financial markets, PG&amp;E believes that there is no reason why the CPUC should be “stampeded” to make ill-considered decisions on DWR-related matters, without full hearings and a full record, in order to meet a purported expedited schedule for issuance of DWR’s bonds which the State Treasurer’s Office itself says can be delayed without adversely affecting the cash and funding needs of the State.</w:t>
      </w:r>
      <w:r>
        <w:rPr>
          <w:rStyle w:val="FootnoteCharacters"/>
          <w:rStyle w:val="FootnoteReference"/>
        </w:rPr>
        <w:footnoteReference w:id="5"/>
      </w:r>
    </w:p>
    <w:p>
      <w:pPr>
        <w:pStyle w:val="BodyText"/>
        <w:rPr/>
      </w:pPr>
      <w:r>
        <w:rPr/>
        <w:t>Therefore, PG&amp;E respectfully moves that the Commission postpone consideration of the above-referenced Draft Decisions on DWR-related matters, until such time as the Commission can complete full and expedited evidentiary hearings on the numerous factual and legal issues raised by PG&amp;E and other parties in their prior comments and motions in these proceedings.</w:t>
      </w:r>
      <w:r>
        <w:rPr>
          <w:rStyle w:val="FootnoteCharacters"/>
          <w:rStyle w:val="FootnoteReference"/>
        </w:rPr>
        <w:footnoteReference w:id="6"/>
      </w:r>
    </w:p>
    <w:p>
      <w:pPr>
        <w:pStyle w:val="BodyText"/>
        <w:rPr/>
      </w:pPr>
      <w:r>
        <w:rPr/>
      </w:r>
    </w:p>
    <w:p>
      <w:pPr>
        <w:pStyle w:val="Normal"/>
        <w:keepNext w:val="true"/>
        <w:keepLines/>
        <w:ind w:start="2880" w:end="0"/>
        <w:rPr>
          <w:rFonts w:ascii="Times New Roman" w:hAnsi="Times New Roman" w:eastAsia="Times New Roman" w:cs="Times New Roman"/>
        </w:rPr>
      </w:pPr>
      <w:bookmarkStart w:id="3" w:name="SignaturePleadingCPUC"/>
      <w:bookmarkEnd w:id="3"/>
      <w:r>
        <w:rPr>
          <w:rFonts w:eastAsia="Times New Roman" w:cs="Times New Roman" w:ascii="Times New Roman" w:hAnsi="Times New Roman"/>
        </w:rPr>
        <w:t xml:space="preserve">       </w:t>
      </w:r>
      <w:r>
        <w:rPr>
          <w:rFonts w:eastAsia="Times New Roman" w:cs="Times New Roman" w:ascii="Times New Roman" w:hAnsi="Times New Roman"/>
        </w:rPr>
        <w:t>Respectfully submitted,</w:t>
      </w:r>
    </w:p>
    <w:p>
      <w:pPr>
        <w:pStyle w:val="Normal"/>
        <w:keepNext w:val="true"/>
        <w:keepLines/>
        <w:ind w:start="3330" w:end="0"/>
        <w:rPr>
          <w:rFonts w:ascii="Times New Roman" w:hAnsi="Times New Roman" w:eastAsia="Times New Roman" w:cs="Times New Roman"/>
        </w:rPr>
      </w:pPr>
      <w:r>
        <w:rPr>
          <w:rFonts w:eastAsia="Times New Roman" w:cs="Times New Roman" w:ascii="Times New Roman" w:hAnsi="Times New Roman"/>
        </w:rPr>
      </w:r>
    </w:p>
    <w:p>
      <w:pPr>
        <w:pStyle w:val="Normal"/>
        <w:keepNext w:val="true"/>
        <w:keepLines/>
        <w:ind w:start="3330" w:end="0"/>
        <w:rPr>
          <w:rFonts w:ascii="Times New Roman" w:hAnsi="Times New Roman" w:eastAsia="Times New Roman" w:cs="Times New Roman"/>
        </w:rPr>
      </w:pPr>
      <w:r>
        <w:rPr>
          <w:rFonts w:eastAsia="Times New Roman" w:cs="Times New Roman" w:ascii="Times New Roman" w:hAnsi="Times New Roman"/>
        </w:rPr>
        <w:t>ROGER J. PETERS</w:t>
      </w:r>
    </w:p>
    <w:p>
      <w:pPr>
        <w:pStyle w:val="Normal"/>
        <w:keepNext w:val="true"/>
        <w:keepLines/>
        <w:ind w:start="3330" w:end="0"/>
        <w:rPr>
          <w:rFonts w:ascii="Times New Roman" w:hAnsi="Times New Roman" w:eastAsia="Times New Roman" w:cs="Times New Roman"/>
        </w:rPr>
      </w:pPr>
      <w:r>
        <w:rPr>
          <w:rFonts w:eastAsia="Times New Roman" w:cs="Times New Roman" w:ascii="Times New Roman" w:hAnsi="Times New Roman"/>
        </w:rPr>
        <w:t>CHRISTOPHER J. WARNER</w:t>
      </w:r>
    </w:p>
    <w:p>
      <w:pPr>
        <w:pStyle w:val="Normal"/>
        <w:keepNext w:val="true"/>
        <w:keepLines/>
        <w:ind w:start="3330" w:end="0"/>
        <w:rPr>
          <w:rFonts w:ascii="Times New Roman" w:hAnsi="Times New Roman" w:eastAsia="Times New Roman" w:cs="Times New Roman"/>
        </w:rPr>
      </w:pPr>
      <w:r>
        <w:rPr>
          <w:rFonts w:eastAsia="Times New Roman" w:cs="Times New Roman" w:ascii="Times New Roman" w:hAnsi="Times New Roman"/>
        </w:rPr>
        <w:t>MARK R. HUFFMAN</w:t>
      </w:r>
    </w:p>
    <w:p>
      <w:pPr>
        <w:pStyle w:val="Normal"/>
        <w:keepNext w:val="true"/>
        <w:keepLines/>
        <w:ind w:start="3330" w:end="0"/>
        <w:rPr>
          <w:rFonts w:ascii="Times New Roman" w:hAnsi="Times New Roman" w:eastAsia="Times New Roman" w:cs="Times New Roman"/>
        </w:rPr>
      </w:pPr>
      <w:r>
        <w:rPr>
          <w:rFonts w:eastAsia="Times New Roman" w:cs="Times New Roman" w:ascii="Times New Roman" w:hAnsi="Times New Roman"/>
        </w:rPr>
      </w:r>
    </w:p>
    <w:p>
      <w:pPr>
        <w:pStyle w:val="Normal"/>
        <w:keepNext w:val="true"/>
        <w:keepLines/>
        <w:ind w:start="3330" w:end="0"/>
        <w:rPr>
          <w:rFonts w:ascii="Times New Roman" w:hAnsi="Times New Roman" w:eastAsia="Times New Roman" w:cs="Times New Roman"/>
        </w:rPr>
      </w:pPr>
      <w:r>
        <w:rPr>
          <w:rFonts w:eastAsia="Times New Roman" w:cs="Times New Roman" w:ascii="Times New Roman" w:hAnsi="Times New Roman"/>
        </w:rPr>
      </w:r>
    </w:p>
    <w:p>
      <w:pPr>
        <w:pStyle w:val="Normal"/>
        <w:keepNext w:val="true"/>
        <w:keepLines/>
        <w:ind w:start="3330" w:end="0"/>
        <w:rPr>
          <w:rFonts w:ascii="Times New Roman" w:hAnsi="Times New Roman" w:eastAsia="Times New Roman" w:cs="Times New Roman"/>
        </w:rPr>
      </w:pPr>
      <w:r>
        <w:rPr>
          <w:rFonts w:eastAsia="Times New Roman" w:cs="Times New Roman" w:ascii="Times New Roman" w:hAnsi="Times New Roman"/>
        </w:rPr>
      </w:r>
    </w:p>
    <w:p>
      <w:pPr>
        <w:pStyle w:val="Normal"/>
        <w:keepNext w:val="true"/>
        <w:keepLines/>
        <w:ind w:start="3330" w:end="0"/>
        <w:rPr>
          <w:rFonts w:ascii="Times New Roman" w:hAnsi="Times New Roman" w:eastAsia="Times New Roman" w:cs="Times New Roman"/>
        </w:rPr>
      </w:pPr>
      <w:r>
        <w:rPr>
          <w:rFonts w:eastAsia="Times New Roman" w:cs="Times New Roman" w:ascii="Times New Roman" w:hAnsi="Times New Roman"/>
        </w:rPr>
      </w:r>
    </w:p>
    <w:p>
      <w:pPr>
        <w:pStyle w:val="Normal"/>
        <w:keepNext w:val="true"/>
        <w:keepLines/>
        <w:tabs>
          <w:tab w:val="clear" w:pos="720"/>
          <w:tab w:val="left" w:pos="7920" w:leader="none"/>
        </w:tabs>
        <w:spacing w:lineRule="atLeast" w:line="240"/>
        <w:ind w:start="3326" w:end="0"/>
        <w:rPr/>
      </w:pPr>
      <w:r>
        <w:rPr>
          <w:rFonts w:eastAsia="Times New Roman" w:cs="Times New Roman" w:ascii="Times New Roman" w:hAnsi="Times New Roman"/>
        </w:rPr>
        <w:t xml:space="preserve">By </w:t>
      </w:r>
      <w:r>
        <w:rPr>
          <w:rFonts w:eastAsia="Times New Roman" w:cs="Times New Roman" w:ascii="Times New Roman" w:hAnsi="Times New Roman"/>
          <w:u w:val="single"/>
        </w:rPr>
        <w:tab/>
      </w:r>
    </w:p>
    <w:p>
      <w:pPr>
        <w:pStyle w:val="Normal"/>
        <w:keepNext w:val="true"/>
        <w:keepLines/>
        <w:tabs>
          <w:tab w:val="clear" w:pos="720"/>
          <w:tab w:val="center" w:pos="5760" w:leader="none"/>
          <w:tab w:val="left" w:pos="7560" w:leader="none"/>
        </w:tabs>
        <w:ind w:start="3330" w:end="0"/>
        <w:rPr>
          <w:rFonts w:ascii="Times New Roman" w:hAnsi="Times New Roman" w:eastAsia="Times New Roman" w:cs="Times New Roman"/>
        </w:rPr>
      </w:pPr>
      <w:r>
        <w:rPr>
          <w:rFonts w:eastAsia="Times New Roman" w:cs="Times New Roman" w:ascii="Times New Roman" w:hAnsi="Times New Roman"/>
        </w:rPr>
        <w:tab/>
        <w:t>Christopher J. Warner</w:t>
      </w:r>
    </w:p>
    <w:p>
      <w:pPr>
        <w:pStyle w:val="Normal"/>
        <w:keepNext w:val="true"/>
        <w:keepLines/>
        <w:tabs>
          <w:tab w:val="clear" w:pos="720"/>
          <w:tab w:val="center" w:pos="5760" w:leader="none"/>
          <w:tab w:val="left" w:pos="7560" w:leader="none"/>
        </w:tabs>
        <w:ind w:start="3330" w:end="0"/>
        <w:rPr>
          <w:rFonts w:ascii="Times New Roman" w:hAnsi="Times New Roman" w:eastAsia="Times New Roman" w:cs="Times New Roman"/>
        </w:rPr>
      </w:pPr>
      <w:r>
        <w:rPr>
          <w:rFonts w:eastAsia="Times New Roman" w:cs="Times New Roman" w:ascii="Times New Roman" w:hAnsi="Times New Roman"/>
        </w:rPr>
      </w:r>
    </w:p>
    <w:p>
      <w:pPr>
        <w:pStyle w:val="Normal"/>
        <w:keepNext w:val="true"/>
        <w:keepLines/>
        <w:ind w:start="3330" w:end="0"/>
        <w:rPr>
          <w:rFonts w:ascii="Times New Roman" w:hAnsi="Times New Roman" w:eastAsia="Times New Roman" w:cs="Times New Roman"/>
        </w:rPr>
      </w:pPr>
      <w:r>
        <w:rPr>
          <w:rFonts w:eastAsia="Times New Roman" w:cs="Times New Roman" w:ascii="Times New Roman" w:hAnsi="Times New Roman"/>
        </w:rPr>
      </w:r>
    </w:p>
    <w:p>
      <w:pPr>
        <w:pStyle w:val="Normal"/>
        <w:keepNext w:val="true"/>
        <w:keepLines/>
        <w:ind w:start="3330" w:end="0"/>
        <w:rPr>
          <w:rFonts w:ascii="Times New Roman" w:hAnsi="Times New Roman" w:eastAsia="Times New Roman" w:cs="Times New Roman"/>
        </w:rPr>
      </w:pPr>
      <w:r>
        <w:rPr>
          <w:rFonts w:eastAsia="Times New Roman" w:cs="Times New Roman" w:ascii="Times New Roman" w:hAnsi="Times New Roman"/>
        </w:rPr>
        <w:t>Law Department</w:t>
      </w:r>
    </w:p>
    <w:p>
      <w:pPr>
        <w:pStyle w:val="Normal"/>
        <w:keepNext w:val="true"/>
        <w:keepLines/>
        <w:ind w:start="3330" w:end="0"/>
        <w:rPr>
          <w:rFonts w:ascii="Times New Roman" w:hAnsi="Times New Roman" w:eastAsia="Times New Roman" w:cs="Times New Roman"/>
        </w:rPr>
      </w:pPr>
      <w:r>
        <w:rPr>
          <w:rFonts w:eastAsia="Times New Roman" w:cs="Times New Roman" w:ascii="Times New Roman" w:hAnsi="Times New Roman"/>
        </w:rPr>
        <w:t>Pacific Gas and Electric Company</w:t>
      </w:r>
    </w:p>
    <w:p>
      <w:pPr>
        <w:pStyle w:val="Normal"/>
        <w:keepNext w:val="true"/>
        <w:keepLines/>
        <w:ind w:start="3330" w:end="0"/>
        <w:rPr>
          <w:rFonts w:ascii="Times New Roman" w:hAnsi="Times New Roman" w:eastAsia="Times New Roman" w:cs="Times New Roman"/>
        </w:rPr>
      </w:pPr>
      <w:r>
        <w:rPr>
          <w:rFonts w:eastAsia="Times New Roman" w:cs="Times New Roman" w:ascii="Times New Roman" w:hAnsi="Times New Roman"/>
        </w:rPr>
        <w:t>Post Office Box 7442</w:t>
      </w:r>
    </w:p>
    <w:p>
      <w:pPr>
        <w:pStyle w:val="Normal"/>
        <w:keepNext w:val="true"/>
        <w:keepLines/>
        <w:ind w:start="3330" w:end="0"/>
        <w:rPr>
          <w:rFonts w:ascii="Times New Roman" w:hAnsi="Times New Roman" w:eastAsia="Times New Roman" w:cs="Times New Roman"/>
        </w:rPr>
      </w:pPr>
      <w:r>
        <w:rPr>
          <w:rFonts w:eastAsia="Times New Roman" w:cs="Times New Roman" w:ascii="Times New Roman" w:hAnsi="Times New Roman"/>
        </w:rPr>
        <w:t>San Francisco, CA  94120</w:t>
      </w:r>
    </w:p>
    <w:p>
      <w:pPr>
        <w:pStyle w:val="Normal"/>
        <w:keepNext w:val="true"/>
        <w:keepLines/>
        <w:ind w:start="3330" w:end="0"/>
        <w:rPr>
          <w:rFonts w:ascii="Times New Roman" w:hAnsi="Times New Roman" w:eastAsia="Times New Roman" w:cs="Times New Roman"/>
        </w:rPr>
      </w:pPr>
      <w:r>
        <w:rPr>
          <w:rFonts w:eastAsia="Times New Roman" w:cs="Times New Roman" w:ascii="Times New Roman" w:hAnsi="Times New Roman"/>
        </w:rPr>
        <w:t>Telephone: (415) 973-6695</w:t>
      </w:r>
    </w:p>
    <w:p>
      <w:pPr>
        <w:pStyle w:val="Normal"/>
        <w:keepNext w:val="true"/>
        <w:keepLines/>
        <w:ind w:start="3330" w:end="0"/>
        <w:rPr>
          <w:rFonts w:ascii="Times New Roman" w:hAnsi="Times New Roman" w:eastAsia="Times New Roman" w:cs="Times New Roman"/>
        </w:rPr>
      </w:pPr>
      <w:r>
        <w:rPr>
          <w:rFonts w:eastAsia="Times New Roman" w:cs="Times New Roman" w:ascii="Times New Roman" w:hAnsi="Times New Roman"/>
        </w:rPr>
        <w:t>E-mail:  CJW5@pge.com</w:t>
      </w:r>
    </w:p>
    <w:p>
      <w:pPr>
        <w:pStyle w:val="Normal"/>
        <w:keepNext w:val="true"/>
        <w:keepLines/>
        <w:ind w:start="3330" w:end="0"/>
        <w:rPr>
          <w:rFonts w:ascii="Times New Roman" w:hAnsi="Times New Roman" w:eastAsia="Times New Roman" w:cs="Times New Roman"/>
        </w:rPr>
      </w:pPr>
      <w:r>
        <w:rPr>
          <w:rFonts w:eastAsia="Times New Roman" w:cs="Times New Roman" w:ascii="Times New Roman" w:hAnsi="Times New Roman"/>
        </w:rPr>
      </w:r>
    </w:p>
    <w:p>
      <w:pPr>
        <w:pStyle w:val="Normal"/>
        <w:keepNext w:val="true"/>
        <w:keepLines/>
        <w:ind w:start="3330" w:end="0"/>
        <w:rPr>
          <w:rFonts w:ascii="Times New Roman" w:hAnsi="Times New Roman" w:eastAsia="Times New Roman" w:cs="Times New Roman"/>
        </w:rPr>
      </w:pPr>
      <w:r>
        <w:rPr>
          <w:rFonts w:eastAsia="Times New Roman" w:cs="Times New Roman" w:ascii="Times New Roman" w:hAnsi="Times New Roman"/>
        </w:rPr>
        <w:t>Attorneys for</w:t>
      </w:r>
    </w:p>
    <w:p>
      <w:pPr>
        <w:pStyle w:val="Normal"/>
        <w:keepNext w:val="true"/>
        <w:keepLines/>
        <w:ind w:start="3330" w:end="0"/>
        <w:rPr>
          <w:rFonts w:ascii="Times New Roman" w:hAnsi="Times New Roman" w:eastAsia="Times New Roman" w:cs="Times New Roman"/>
        </w:rPr>
      </w:pPr>
      <w:r>
        <w:rPr>
          <w:rFonts w:eastAsia="Times New Roman" w:cs="Times New Roman" w:ascii="Times New Roman" w:hAnsi="Times New Roman"/>
        </w:rPr>
        <w:t>PACIFIC GAS AND ELECTRIC COMPANY</w:t>
      </w:r>
    </w:p>
    <w:p>
      <w:pPr>
        <w:pStyle w:val="Normal"/>
        <w:keepNext w:val="true"/>
        <w:keepLines/>
        <w:ind w:start="4680" w:end="0"/>
        <w:rPr>
          <w:rFonts w:ascii="Times New Roman" w:hAnsi="Times New Roman" w:eastAsia="Times New Roman" w:cs="Times New Roman"/>
        </w:rPr>
      </w:pPr>
      <w:r>
        <w:rPr>
          <w:rFonts w:eastAsia="Times New Roman" w:cs="Times New Roman" w:ascii="Times New Roman" w:hAnsi="Times New Roman"/>
        </w:rPr>
      </w:r>
    </w:p>
    <w:p>
      <w:pPr>
        <w:pStyle w:val="Normal"/>
        <w:keepNext w:val="true"/>
        <w:keepLines/>
        <w:rPr>
          <w:rFonts w:ascii="Times New Roman" w:hAnsi="Times New Roman" w:eastAsia="Times New Roman" w:cs="Times New Roman"/>
        </w:rPr>
      </w:pPr>
      <w:r>
        <w:rPr>
          <w:rFonts w:eastAsia="Times New Roman" w:cs="Times New Roman" w:ascii="Times New Roman" w:hAnsi="Times New Roman"/>
        </w:rPr>
        <w:t>Dated:  September 14, 2001</w:t>
      </w:r>
    </w:p>
    <w:p>
      <w:pPr>
        <w:pStyle w:val="Normal"/>
        <w:keepNext w:val="true"/>
        <w:keepLines/>
        <w:rPr>
          <w:rFonts w:ascii="Times New Roman" w:hAnsi="Times New Roman" w:eastAsia="Times New Roman" w:cs="Times New Roman"/>
        </w:rPr>
      </w:pPr>
      <w:r>
        <w:rPr>
          <w:rFonts w:eastAsia="Times New Roman" w:cs="Times New Roman" w:ascii="Times New Roman" w:hAnsi="Times New Roman"/>
        </w:rPr>
      </w:r>
      <w:bookmarkStart w:id="4" w:name="PleadingCPUCModel"/>
      <w:bookmarkStart w:id="5" w:name="SignaturePleadingCPUC"/>
      <w:bookmarkStart w:id="6" w:name="PleadingCPUCModel"/>
      <w:bookmarkStart w:id="7" w:name="SignaturePleadingCPUC"/>
      <w:bookmarkEnd w:id="6"/>
      <w:bookmarkEnd w:id="7"/>
    </w:p>
    <w:p>
      <w:pPr>
        <w:pStyle w:val="TOC1"/>
        <w:jc w:val="center"/>
        <w:rPr>
          <w:rFonts w:ascii="Times New Roman" w:hAnsi="Times New Roman" w:eastAsia="Times New Roman" w:cs="Times New Roman"/>
          <w:lang w:val="en-CA"/>
        </w:rPr>
      </w:pPr>
      <w:r>
        <w:rPr>
          <w:rFonts w:eastAsia="Times New Roman" w:cs="Times New Roman" w:ascii="Times New Roman" w:hAnsi="Times New Roman"/>
          <w:lang w:val="en-CA"/>
        </w:rPr>
      </w:r>
      <w:bookmarkStart w:id="8" w:name="PTOC"/>
      <w:bookmarkStart w:id="9" w:name="PTOC"/>
      <w:bookmarkEnd w:id="9"/>
    </w:p>
    <w:p>
      <w:pPr>
        <w:pStyle w:val="TOC1"/>
        <w:jc w:val="center"/>
        <w:rPr>
          <w:rFonts w:ascii="Times New Roman" w:hAnsi="Times New Roman" w:eastAsia="Times New Roman" w:cs="Times New Roman"/>
          <w:lang w:val="en-CA"/>
        </w:rPr>
      </w:pPr>
      <w:r>
        <w:rPr>
          <w:rFonts w:eastAsia="Times New Roman" w:cs="Times New Roman" w:ascii="Times New Roman" w:hAnsi="Times New Roman"/>
          <w:lang w:val="en-CA"/>
        </w:rPr>
      </w:r>
      <w:bookmarkStart w:id="10" w:name="PTOC"/>
      <w:bookmarkStart w:id="11" w:name="PTOC"/>
      <w:bookmarkEnd w:id="11"/>
      <w:r>
        <w:br w:type="page"/>
      </w:r>
    </w:p>
    <w:p>
      <w:pPr>
        <w:pStyle w:val="Normal"/>
        <w:tabs>
          <w:tab w:val="clear" w:pos="720"/>
          <w:tab w:val="center" w:pos="4536" w:leader="none"/>
        </w:tabs>
        <w:suppressAutoHyphens w:val="true"/>
        <w:spacing w:before="200" w:after="0"/>
        <w:jc w:val="center"/>
        <w:rPr/>
      </w:pPr>
      <w:bookmarkStart w:id="12" w:name="POSCPUCMail"/>
      <w:bookmarkEnd w:id="12"/>
      <w:r>
        <w:rPr>
          <w:rFonts w:eastAsia="Times New Roman" w:cs="Times New Roman" w:ascii="Times New Roman" w:hAnsi="Times New Roman"/>
          <w:spacing w:val="-2"/>
          <w:u w:val="single"/>
        </w:rPr>
        <w:t>CERTIFICATE OF SERVICE</w:t>
      </w:r>
      <w:r>
        <w:rPr>
          <w:rFonts w:eastAsia="Times New Roman" w:cs="Times New Roman" w:ascii="Times New Roman" w:hAnsi="Times New Roman"/>
          <w:u w:val="single"/>
        </w:rPr>
        <w:t xml:space="preserve"> BY MAIL</w:t>
      </w:r>
    </w:p>
    <w:p>
      <w:pPr>
        <w:pStyle w:val="Normal"/>
        <w:tabs>
          <w:tab w:val="clear" w:pos="720"/>
          <w:tab w:val="left" w:pos="-720" w:leader="none"/>
        </w:tabs>
        <w:suppressAutoHyphens w:val="true"/>
        <w:jc w:val="center"/>
        <w:rPr>
          <w:rFonts w:ascii="Times New Roman" w:hAnsi="Times New Roman" w:eastAsia="Times New Roman" w:cs="Times New Roman"/>
          <w:u w:val="single"/>
        </w:rPr>
      </w:pPr>
      <w:r>
        <w:rPr>
          <w:rFonts w:eastAsia="Times New Roman" w:cs="Times New Roman" w:ascii="Times New Roman" w:hAnsi="Times New Roman"/>
          <w:u w:val="single"/>
        </w:rPr>
      </w:r>
    </w:p>
    <w:p>
      <w:pPr>
        <w:pStyle w:val="Normal"/>
        <w:tabs>
          <w:tab w:val="clear" w:pos="720"/>
          <w:tab w:val="left" w:pos="-720" w:leader="none"/>
        </w:tabs>
        <w:suppressAutoHyphens w:val="true"/>
        <w:rPr>
          <w:rFonts w:ascii="Times New Roman" w:hAnsi="Times New Roman" w:eastAsia="Times New Roman" w:cs="Times New Roman"/>
        </w:rPr>
      </w:pPr>
      <w:r>
        <w:rPr>
          <w:rFonts w:eastAsia="Times New Roman" w:cs="Times New Roman" w:ascii="Times New Roman" w:hAnsi="Times New Roman"/>
        </w:rPr>
        <w:tab/>
        <w:tab/>
        <w:t>I, the undersigned, state that I am a citizen of the United States and am employed in the City and County of San Francisco; that I am over the age of eighteen (18) years and not a party to the within cause; and that my business address is Pacific Gas and Electric Company, Law Department B30A, 77 Beale Street, San Francisco, California 94105.</w:t>
      </w:r>
    </w:p>
    <w:p>
      <w:pPr>
        <w:pStyle w:val="Normal"/>
        <w:tabs>
          <w:tab w:val="clear" w:pos="720"/>
          <w:tab w:val="left" w:pos="-720" w:leader="none"/>
        </w:tabs>
        <w:suppressAutoHyphens w:val="true"/>
        <w:rPr>
          <w:rFonts w:ascii="Times New Roman" w:hAnsi="Times New Roman" w:eastAsia="Times New Roman" w:cs="Times New Roman"/>
        </w:rPr>
      </w:pPr>
      <w:r>
        <w:rPr>
          <w:rFonts w:eastAsia="Times New Roman" w:cs="Times New Roman" w:ascii="Times New Roman" w:hAnsi="Times New Roman"/>
        </w:rPr>
      </w:r>
    </w:p>
    <w:p>
      <w:pPr>
        <w:pStyle w:val="Normal"/>
        <w:tabs>
          <w:tab w:val="clear" w:pos="720"/>
          <w:tab w:val="left" w:pos="-720" w:leader="none"/>
        </w:tabs>
        <w:suppressAutoHyphens w:val="true"/>
        <w:rPr>
          <w:rFonts w:ascii="Times New Roman" w:hAnsi="Times New Roman" w:eastAsia="Times New Roman" w:cs="Times New Roman"/>
        </w:rPr>
      </w:pPr>
      <w:r>
        <w:rPr>
          <w:rFonts w:eastAsia="Times New Roman" w:cs="Times New Roman" w:ascii="Times New Roman" w:hAnsi="Times New Roman"/>
        </w:rPr>
        <w:tab/>
        <w:tab/>
        <w:t xml:space="preserve"> I am readily familiar with the business practice of Pacific Gas and Electric Company for collection and processing of correspondence for mailing with the United States Postal Service.  In the ordinary course of business, correspondence is deposited with the United States Postal Service the same day it is submitted for mailing.</w:t>
      </w:r>
    </w:p>
    <w:p>
      <w:pPr>
        <w:pStyle w:val="Normal"/>
        <w:tabs>
          <w:tab w:val="clear" w:pos="720"/>
          <w:tab w:val="left" w:pos="-720" w:leader="none"/>
        </w:tabs>
        <w:suppressAutoHyphens w:val="true"/>
        <w:rPr>
          <w:rFonts w:ascii="Times New Roman" w:hAnsi="Times New Roman" w:eastAsia="Times New Roman" w:cs="Times New Roman"/>
        </w:rPr>
      </w:pPr>
      <w:r>
        <w:rPr>
          <w:rFonts w:eastAsia="Times New Roman" w:cs="Times New Roman" w:ascii="Times New Roman" w:hAnsi="Times New Roman"/>
        </w:rPr>
        <w:tab/>
        <w:tab/>
      </w:r>
    </w:p>
    <w:p>
      <w:pPr>
        <w:pStyle w:val="Normal"/>
        <w:tabs>
          <w:tab w:val="clear" w:pos="720"/>
          <w:tab w:val="left" w:pos="-720" w:leader="none"/>
        </w:tabs>
        <w:suppressAutoHyphens w:val="true"/>
        <w:rPr>
          <w:rFonts w:ascii="Times New Roman" w:hAnsi="Times New Roman" w:eastAsia="Times New Roman" w:cs="Times New Roman"/>
        </w:rPr>
      </w:pPr>
      <w:r>
        <w:rPr>
          <w:rFonts w:eastAsia="Times New Roman" w:cs="Times New Roman" w:ascii="Times New Roman" w:hAnsi="Times New Roman"/>
        </w:rPr>
        <w:tab/>
        <w:tab/>
        <w:t>On the 14th day of September, 2001, I served a true copy of:</w:t>
      </w:r>
    </w:p>
    <w:p>
      <w:pPr>
        <w:pStyle w:val="Normal"/>
        <w:tabs>
          <w:tab w:val="clear" w:pos="720"/>
          <w:tab w:val="left" w:pos="-720" w:leader="none"/>
        </w:tabs>
        <w:suppressAutoHyphens w:val="true"/>
        <w:rPr>
          <w:rFonts w:ascii="Times New Roman" w:hAnsi="Times New Roman" w:eastAsia="Times New Roman" w:cs="Times New Roman"/>
        </w:rPr>
      </w:pPr>
      <w:r>
        <w:rPr>
          <w:rFonts w:eastAsia="Times New Roman" w:cs="Times New Roman" w:ascii="Times New Roman" w:hAnsi="Times New Roman"/>
        </w:rPr>
      </w:r>
    </w:p>
    <w:p>
      <w:pPr>
        <w:pStyle w:val="Normal"/>
        <w:suppressAutoHyphens w:val="true"/>
        <w:jc w:val="center"/>
        <w:rPr>
          <w:rFonts w:ascii="Times New Roman" w:hAnsi="Times New Roman" w:eastAsia="Times New Roman" w:cs="Times New Roman"/>
          <w:b/>
          <w:bCs/>
        </w:rPr>
      </w:pPr>
      <w:r>
        <w:rPr>
          <w:rFonts w:eastAsia="Times New Roman" w:cs="Times New Roman" w:ascii="Times New Roman" w:hAnsi="Times New Roman"/>
          <w:b/>
          <w:bCs/>
        </w:rPr>
        <w:t>MOTION OF PACIFIC GAS AND ELECTRIC COMPANY TO POSTPONE</w:t>
      </w:r>
    </w:p>
    <w:p>
      <w:pPr>
        <w:pStyle w:val="Normal"/>
        <w:suppressAutoHyphens w:val="true"/>
        <w:jc w:val="center"/>
        <w:rPr>
          <w:rFonts w:ascii="Times New Roman" w:hAnsi="Times New Roman" w:eastAsia="Times New Roman" w:cs="Times New Roman"/>
          <w:b/>
          <w:bCs/>
        </w:rPr>
      </w:pPr>
      <w:r>
        <w:rPr>
          <w:rFonts w:eastAsia="Times New Roman" w:cs="Times New Roman" w:ascii="Times New Roman" w:hAnsi="Times New Roman"/>
          <w:b/>
          <w:bCs/>
        </w:rPr>
        <w:t>COMMISSION CONSIDERATION OF DWR-RELATED DRAFT</w:t>
      </w:r>
    </w:p>
    <w:p>
      <w:pPr>
        <w:pStyle w:val="Normal"/>
        <w:suppressAutoHyphens w:val="true"/>
        <w:jc w:val="center"/>
        <w:rPr>
          <w:rFonts w:ascii="Times New Roman" w:hAnsi="Times New Roman" w:eastAsia="Times New Roman" w:cs="Times New Roman"/>
        </w:rPr>
      </w:pPr>
      <w:r>
        <w:rPr>
          <w:rFonts w:eastAsia="Times New Roman" w:cs="Times New Roman" w:ascii="Times New Roman" w:hAnsi="Times New Roman"/>
          <w:b/>
          <w:bCs/>
        </w:rPr>
        <w:t>DECISIONS IN LIGHT OF NEW INFORMATION FROM STATE TREASURER</w:t>
      </w:r>
    </w:p>
    <w:p>
      <w:pPr>
        <w:pStyle w:val="Normal"/>
        <w:tabs>
          <w:tab w:val="clear" w:pos="720"/>
          <w:tab w:val="center" w:pos="4536" w:leader="none"/>
        </w:tabs>
        <w:suppressAutoHyphens w:val="true"/>
        <w:rPr>
          <w:rFonts w:ascii="Times New Roman" w:hAnsi="Times New Roman" w:eastAsia="Times New Roman" w:cs="Times New Roman"/>
        </w:rPr>
      </w:pPr>
      <w:r>
        <w:rPr>
          <w:rFonts w:eastAsia="Times New Roman" w:cs="Times New Roman" w:ascii="Times New Roman" w:hAnsi="Times New Roman"/>
        </w:rPr>
      </w:r>
    </w:p>
    <w:p>
      <w:pPr>
        <w:pStyle w:val="Normal"/>
        <w:tabs>
          <w:tab w:val="clear" w:pos="720"/>
          <w:tab w:val="left" w:pos="-720" w:leader="none"/>
        </w:tabs>
        <w:suppressAutoHyphens w:val="true"/>
        <w:rPr>
          <w:rFonts w:ascii="Times New Roman" w:hAnsi="Times New Roman" w:eastAsia="Times New Roman" w:cs="Times New Roman"/>
        </w:rPr>
      </w:pPr>
      <w:r>
        <w:rPr>
          <w:rFonts w:eastAsia="Times New Roman" w:cs="Times New Roman" w:ascii="Times New Roman" w:hAnsi="Times New Roman"/>
        </w:rPr>
        <w:t>by placing it for collection and mailing, in the course of ordinary business practice, with other correspondence of Pacific Gas and Electric Company, enclosed in a sealed envelope, with postage fully prepaid, addressed to:</w:t>
      </w:r>
    </w:p>
    <w:p>
      <w:pPr>
        <w:pStyle w:val="Normal"/>
        <w:tabs>
          <w:tab w:val="clear" w:pos="720"/>
          <w:tab w:val="left" w:pos="-720" w:leader="none"/>
        </w:tabs>
        <w:suppressAutoHyphens w:val="true"/>
        <w:rPr>
          <w:rFonts w:ascii="Times New Roman" w:hAnsi="Times New Roman" w:eastAsia="Times New Roman" w:cs="Times New Roman"/>
        </w:rPr>
      </w:pPr>
      <w:r>
        <w:rPr>
          <w:rFonts w:eastAsia="Times New Roman" w:cs="Times New Roman" w:ascii="Times New Roman" w:hAnsi="Times New Roman"/>
        </w:rPr>
      </w:r>
    </w:p>
    <w:tbl>
      <w:tblPr>
        <w:tblW w:w="9202" w:type="dxa"/>
        <w:jc w:val="start"/>
        <w:tblInd w:w="0" w:type="dxa"/>
        <w:tblLayout w:type="fixed"/>
        <w:tblCellMar>
          <w:top w:w="0" w:type="dxa"/>
          <w:start w:w="108" w:type="dxa"/>
          <w:bottom w:w="0" w:type="dxa"/>
          <w:end w:w="108" w:type="dxa"/>
        </w:tblCellMar>
      </w:tblPr>
      <w:tblGrid>
        <w:gridCol w:w="8118"/>
        <w:gridCol w:w="1084"/>
      </w:tblGrid>
      <w:tr>
        <w:trPr/>
        <w:tc>
          <w:tcPr>
            <w:tcW w:w="8118" w:type="dxa"/>
            <w:tcBorders/>
          </w:tcPr>
          <w:p>
            <w:pPr>
              <w:pStyle w:val="Normal"/>
              <w:suppressAutoHyphens w:val="true"/>
              <w:rPr>
                <w:rFonts w:ascii="Times New Roman" w:hAnsi="Times New Roman" w:eastAsia="Times New Roman" w:cs="Times New Roman"/>
              </w:rPr>
            </w:pPr>
            <w:r>
              <w:rPr>
                <w:rFonts w:eastAsia="Times New Roman" w:cs="Times New Roman" w:ascii="Times New Roman" w:hAnsi="Times New Roman"/>
              </w:rPr>
              <w:t>Please see attached service list No. A.00-11-038, A.00-11-056, A.00-10-028</w:t>
            </w:r>
          </w:p>
        </w:tc>
        <w:tc>
          <w:tcPr>
            <w:tcW w:w="1084" w:type="dxa"/>
            <w:tcBorders/>
          </w:tcPr>
          <w:p>
            <w:pPr>
              <w:pStyle w:val="Normal"/>
              <w:suppressAutoHyphens w:val="true"/>
              <w:snapToGrid w:val="false"/>
              <w:rPr>
                <w:rFonts w:ascii="Times New Roman" w:hAnsi="Times New Roman" w:eastAsia="Times New Roman" w:cs="Times New Roman"/>
              </w:rPr>
            </w:pPr>
            <w:r>
              <w:rPr>
                <w:rFonts w:eastAsia="Times New Roman" w:cs="Times New Roman" w:ascii="Times New Roman" w:hAnsi="Times New Roman"/>
              </w:rPr>
            </w:r>
          </w:p>
        </w:tc>
      </w:tr>
    </w:tbl>
    <w:p>
      <w:pPr>
        <w:pStyle w:val="Normal"/>
        <w:tabs>
          <w:tab w:val="clear" w:pos="720"/>
          <w:tab w:val="left" w:pos="-720" w:leader="none"/>
        </w:tabs>
        <w:suppressAutoHyphens w:val="true"/>
        <w:rPr>
          <w:rFonts w:ascii="Times New Roman" w:hAnsi="Times New Roman" w:eastAsia="Times New Roman" w:cs="Times New Roman"/>
        </w:rPr>
      </w:pPr>
      <w:r>
        <w:rPr>
          <w:rFonts w:eastAsia="Times New Roman" w:cs="Times New Roman" w:ascii="Times New Roman" w:hAnsi="Times New Roman"/>
        </w:rPr>
      </w:r>
    </w:p>
    <w:p>
      <w:pPr>
        <w:pStyle w:val="Normal"/>
        <w:tabs>
          <w:tab w:val="clear" w:pos="720"/>
          <w:tab w:val="left" w:pos="-720" w:leader="none"/>
        </w:tabs>
        <w:suppressAutoHyphens w:val="true"/>
        <w:rPr>
          <w:rFonts w:ascii="Times New Roman" w:hAnsi="Times New Roman" w:eastAsia="Times New Roman" w:cs="Times New Roman"/>
        </w:rPr>
      </w:pPr>
      <w:r>
        <w:rPr>
          <w:rFonts w:eastAsia="Times New Roman" w:cs="Times New Roman" w:ascii="Times New Roman" w:hAnsi="Times New Roman"/>
        </w:rPr>
      </w:r>
    </w:p>
    <w:p>
      <w:pPr>
        <w:pStyle w:val="Normal"/>
        <w:tabs>
          <w:tab w:val="clear" w:pos="720"/>
          <w:tab w:val="left" w:pos="-720" w:leader="none"/>
        </w:tabs>
        <w:suppressAutoHyphens w:val="true"/>
        <w:rPr>
          <w:rFonts w:ascii="Times New Roman" w:hAnsi="Times New Roman" w:eastAsia="Times New Roman" w:cs="Times New Roman"/>
        </w:rPr>
      </w:pPr>
      <w:r>
        <w:rPr>
          <w:rFonts w:eastAsia="Times New Roman" w:cs="Times New Roman" w:ascii="Times New Roman" w:hAnsi="Times New Roman"/>
        </w:rPr>
        <w:tab/>
        <w:tab/>
        <w:t xml:space="preserve">I certify and declare under penalty of perjury under the laws of the State of California that the foregoing is true and correct. </w:t>
      </w:r>
    </w:p>
    <w:p>
      <w:pPr>
        <w:pStyle w:val="Normal"/>
        <w:tabs>
          <w:tab w:val="clear" w:pos="720"/>
          <w:tab w:val="left" w:pos="-720" w:leader="none"/>
        </w:tabs>
        <w:suppressAutoHyphens w:val="true"/>
        <w:rPr>
          <w:rFonts w:ascii="Times New Roman" w:hAnsi="Times New Roman" w:eastAsia="Times New Roman" w:cs="Times New Roman"/>
        </w:rPr>
      </w:pPr>
      <w:r>
        <w:rPr>
          <w:rFonts w:eastAsia="Times New Roman" w:cs="Times New Roman" w:ascii="Times New Roman" w:hAnsi="Times New Roman"/>
        </w:rPr>
      </w:r>
    </w:p>
    <w:p>
      <w:pPr>
        <w:pStyle w:val="Normal"/>
        <w:tabs>
          <w:tab w:val="clear" w:pos="720"/>
          <w:tab w:val="left" w:pos="-720" w:leader="none"/>
        </w:tabs>
        <w:suppressAutoHyphens w:val="true"/>
        <w:rPr>
          <w:rFonts w:ascii="Times New Roman" w:hAnsi="Times New Roman" w:eastAsia="Times New Roman" w:cs="Times New Roman"/>
        </w:rPr>
      </w:pPr>
      <w:r>
        <w:rPr>
          <w:rFonts w:eastAsia="Times New Roman" w:cs="Times New Roman" w:ascii="Times New Roman" w:hAnsi="Times New Roman"/>
        </w:rPr>
        <w:tab/>
        <w:tab/>
        <w:t>Executed on the 14th day of September, 2001.</w:t>
      </w:r>
    </w:p>
    <w:p>
      <w:pPr>
        <w:pStyle w:val="Normal"/>
        <w:tabs>
          <w:tab w:val="clear" w:pos="720"/>
          <w:tab w:val="left" w:pos="-720" w:leader="none"/>
        </w:tabs>
        <w:suppressAutoHyphens w:val="true"/>
        <w:rPr>
          <w:rFonts w:ascii="Times New Roman" w:hAnsi="Times New Roman" w:eastAsia="Times New Roman" w:cs="Times New Roman"/>
        </w:rPr>
      </w:pPr>
      <w:r>
        <w:rPr>
          <w:rFonts w:eastAsia="Times New Roman" w:cs="Times New Roman" w:ascii="Times New Roman" w:hAnsi="Times New Roman"/>
        </w:rPr>
      </w:r>
    </w:p>
    <w:p>
      <w:pPr>
        <w:pStyle w:val="Normal"/>
        <w:tabs>
          <w:tab w:val="clear" w:pos="720"/>
          <w:tab w:val="left" w:pos="-720" w:leader="none"/>
        </w:tabs>
        <w:suppressAutoHyphens w:val="true"/>
        <w:rPr>
          <w:rFonts w:ascii="Times New Roman" w:hAnsi="Times New Roman" w:eastAsia="Times New Roman" w:cs="Times New Roman"/>
        </w:rPr>
      </w:pPr>
      <w:r>
        <w:rPr>
          <w:rFonts w:eastAsia="Times New Roman" w:cs="Times New Roman" w:ascii="Times New Roman" w:hAnsi="Times New Roman"/>
        </w:rPr>
      </w:r>
    </w:p>
    <w:p>
      <w:pPr>
        <w:pStyle w:val="Normal"/>
        <w:tabs>
          <w:tab w:val="clear" w:pos="720"/>
          <w:tab w:val="left" w:pos="-720" w:leader="none"/>
        </w:tabs>
        <w:suppressAutoHyphens w:val="true"/>
        <w:rPr>
          <w:rFonts w:ascii="Times New Roman" w:hAnsi="Times New Roman" w:eastAsia="Times New Roman" w:cs="Times New Roman"/>
        </w:rPr>
      </w:pPr>
      <w:r>
        <w:rPr>
          <w:rFonts w:eastAsia="Times New Roman" w:cs="Times New Roman" w:ascii="Times New Roman" w:hAnsi="Times New Roman"/>
        </w:rPr>
      </w:r>
    </w:p>
    <w:p>
      <w:pPr>
        <w:pStyle w:val="Normal"/>
        <w:tabs>
          <w:tab w:val="clear" w:pos="720"/>
          <w:tab w:val="left" w:pos="-720" w:leader="none"/>
        </w:tabs>
        <w:suppressAutoHyphens w:val="true"/>
        <w:rPr>
          <w:rFonts w:ascii="Times New Roman" w:hAnsi="Times New Roman" w:eastAsia="Times New Roman" w:cs="Times New Roman"/>
        </w:rPr>
      </w:pPr>
      <w:r>
        <w:rPr>
          <w:rFonts w:eastAsia="Times New Roman" w:cs="Times New Roman" w:ascii="Times New Roman" w:hAnsi="Times New Roman"/>
        </w:rPr>
      </w:r>
    </w:p>
    <w:p>
      <w:pPr>
        <w:pStyle w:val="Normal"/>
        <w:pBdr>
          <w:bottom w:val="single" w:sz="6" w:space="1" w:color="000000"/>
        </w:pBdr>
        <w:tabs>
          <w:tab w:val="clear" w:pos="720"/>
          <w:tab w:val="left" w:pos="-720" w:leader="none"/>
        </w:tabs>
        <w:suppressAutoHyphens w:val="true"/>
        <w:ind w:start="4410" w:end="1350"/>
        <w:rPr>
          <w:rFonts w:ascii="Times New Roman" w:hAnsi="Times New Roman" w:eastAsia="Times New Roman" w:cs="Times New Roman"/>
        </w:rPr>
      </w:pPr>
      <w:r>
        <w:rPr>
          <w:rFonts w:eastAsia="Times New Roman" w:cs="Times New Roman" w:ascii="Times New Roman" w:hAnsi="Times New Roman"/>
        </w:rPr>
      </w:r>
    </w:p>
    <w:p>
      <w:pPr>
        <w:pStyle w:val="Normal"/>
        <w:tabs>
          <w:tab w:val="clear" w:pos="720"/>
          <w:tab w:val="left" w:pos="-720" w:leader="none"/>
          <w:tab w:val="center" w:pos="6480" w:leader="none"/>
        </w:tabs>
        <w:suppressAutoHyphens w:val="true"/>
        <w:rPr>
          <w:rFonts w:ascii="Times New Roman" w:hAnsi="Times New Roman" w:eastAsia="Times New Roman" w:cs="Times New Roman"/>
        </w:rPr>
      </w:pPr>
      <w:r>
        <w:rPr>
          <w:rFonts w:eastAsia="Times New Roman" w:cs="Times New Roman" w:ascii="Times New Roman" w:hAnsi="Times New Roman"/>
        </w:rPr>
        <w:tab/>
        <w:t>MARTIE L. WAY</w:t>
      </w:r>
    </w:p>
    <w:p>
      <w:pPr>
        <w:pStyle w:val="Normal"/>
        <w:rPr>
          <w:rFonts w:ascii="Times New Roman" w:hAnsi="Times New Roman" w:eastAsia="Times New Roman" w:cs="Times New Roman"/>
        </w:rPr>
      </w:pPr>
      <w:r>
        <w:rPr>
          <w:rFonts w:eastAsia="Times New Roman" w:cs="Times New Roman" w:ascii="Times New Roman" w:hAnsi="Times New Roman"/>
        </w:rPr>
      </w:r>
      <w:bookmarkStart w:id="13" w:name="POSCPUCMail"/>
      <w:bookmarkStart w:id="14" w:name="POSCPUCMail"/>
      <w:bookmarkEnd w:id="14"/>
    </w:p>
    <w:sectPr>
      <w:footerReference w:type="default" r:id="rId2"/>
      <w:footerReference w:type="first" r:id="rId3"/>
      <w:footnotePr>
        <w:numFmt w:val="decimal"/>
      </w:footnotePr>
      <w:type w:val="nextPage"/>
      <w:pgSz w:w="12240" w:h="15840"/>
      <w:pgMar w:left="1800" w:right="1080" w:gutter="0" w:header="0" w:top="1440" w:footer="432" w:bottom="1080"/>
      <w:pgNumType w:start="1" w:fmt="decimal"/>
      <w:formProt w:val="false"/>
      <w:titlePg/>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1"/>
    <w:family w:val="modern"/>
    <w:pitch w:val="default"/>
  </w:font>
  <w:font w:name="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r>
    <w:r>
      <mc:AlternateContent>
        <mc:Choice Requires="wps">
          <w:drawing>
            <wp:anchor behindDoc="0" distT="0" distB="0" distL="0" distR="0" simplePos="0" locked="0" layoutInCell="0" allowOverlap="1" relativeHeight="7">
              <wp:simplePos x="0" y="0"/>
              <wp:positionH relativeFrom="margin">
                <wp:align>center</wp:align>
              </wp:positionH>
              <wp:positionV relativeFrom="paragraph">
                <wp:posOffset>635</wp:posOffset>
              </wp:positionV>
              <wp:extent cx="76835" cy="15240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5240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2pt;mso-wrap-distance-left:0pt;mso-wrap-distance-right:0pt;mso-wrap-distance-top:0pt;mso-wrap-distance-bottom:0pt;margin-top:0.05pt;mso-position-vertical-relative:text;margin-left:231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spacing w:lineRule="auto" w:line="240" w:before="0" w:after="120"/>
        <w:ind w:hanging="432" w:start="432" w:end="0"/>
        <w:rPr/>
      </w:pPr>
      <w:r>
        <w:rPr>
          <w:rStyle w:val="FootnoteCharacters"/>
        </w:rPr>
        <w:footnoteRef/>
      </w:r>
      <w:r>
        <w:rPr/>
        <w:t xml:space="preserve"> </w:t>
      </w:r>
      <w:r>
        <w:rPr/>
        <w:tab/>
        <w:t>The Draft Decisions covered by this Motion include: the Draft Decision of ALJ Kenney mailed August 28, 2001, regarding the proposed rate agreement between the DWR and the CPUC; and the Draft Decision of ALJ Pulsifer mailed September 4, 2001, regarding DWR’s revised revenue requirement request.</w:t>
      </w:r>
    </w:p>
  </w:footnote>
  <w:footnote w:id="3">
    <w:p>
      <w:pPr>
        <w:pStyle w:val="FootnoteText"/>
        <w:spacing w:lineRule="auto" w:line="240" w:before="0" w:after="120"/>
        <w:ind w:hanging="432" w:start="432" w:end="0"/>
        <w:rPr/>
      </w:pPr>
      <w:r>
        <w:rPr>
          <w:rStyle w:val="FootnoteCharacters"/>
        </w:rPr>
        <w:footnoteRef/>
      </w:r>
      <w:r>
        <w:rPr/>
        <w:t xml:space="preserve"> </w:t>
      </w:r>
      <w:r>
        <w:rPr/>
        <w:tab/>
        <w:t>See, e.g., “Assigned Commissioner’s Ruling Regarding Draft Rate Agreement,” July 18, 2001, p. 3 and Attachment C (“A copy of a memorandum outlining the time-frame in which Commission action must occur if the Department is to sell bonds on schedule is attached as Attachment C. Under this timetable, the Commission must be in a position to consider the adoption of a Rate Agreement by the middle of August.”)</w:t>
      </w:r>
    </w:p>
  </w:footnote>
  <w:footnote w:id="4">
    <w:p>
      <w:pPr>
        <w:pStyle w:val="FootnoteText"/>
        <w:spacing w:lineRule="auto" w:line="240" w:before="0" w:after="120"/>
        <w:ind w:hanging="432" w:start="432" w:end="0"/>
        <w:rPr/>
      </w:pPr>
      <w:r>
        <w:rPr>
          <w:rStyle w:val="FootnoteCharacters"/>
        </w:rPr>
        <w:footnoteRef/>
      </w:r>
      <w:r>
        <w:rPr/>
        <w:t xml:space="preserve"> </w:t>
      </w:r>
      <w:r>
        <w:rPr/>
        <w:tab/>
        <w:t>“Calif Utils Urge CPUC For Hearings on DWR Payment Plan,” DOW JONES NEWSWIRES, September 13, 2001.</w:t>
      </w:r>
    </w:p>
  </w:footnote>
  <w:footnote w:id="5">
    <w:p>
      <w:pPr>
        <w:pStyle w:val="FootnoteText"/>
        <w:spacing w:lineRule="auto" w:line="240" w:before="0" w:after="120"/>
        <w:ind w:hanging="432" w:start="432" w:end="0"/>
        <w:rPr/>
      </w:pPr>
      <w:r>
        <w:rPr>
          <w:rStyle w:val="FootnoteCharacters"/>
        </w:rPr>
        <w:footnoteRef/>
      </w:r>
      <w:r>
        <w:rPr/>
        <w:t xml:space="preserve"> </w:t>
      </w:r>
      <w:r>
        <w:rPr/>
        <w:tab/>
        <w:t xml:space="preserve">PG&amp;E understands that DWR itself entered into bridge loans in June, 2001 prior to submitting its revenue requirement request to the CPUC and prior to CPUC and public review of that request.  To the extent that DWR agreed to terms under those loans under which DWR would pay somewhat higher interest rates if the issuance of DWR’s bonds were delayed beyond November, 2001, that was a risk that DWR assumed.  However, any higher interest costs incurred by DWR are most likely far lower than the $3 billion or more in cost savings DWR customers are likely to enjoy if the CPUC and the public have more time to review and insist on adjustments to DWR’s revenue requirement request to reflect a more mathematically supportable forecast of its costs. </w:t>
      </w:r>
    </w:p>
  </w:footnote>
  <w:footnote w:id="6">
    <w:p>
      <w:pPr>
        <w:pStyle w:val="FootnoteText"/>
        <w:spacing w:lineRule="auto" w:line="240" w:before="0" w:after="120"/>
        <w:ind w:hanging="432" w:start="432" w:end="0"/>
        <w:rPr/>
      </w:pPr>
      <w:r>
        <w:rPr>
          <w:rStyle w:val="FootnoteCharacters"/>
        </w:rPr>
        <w:footnoteRef/>
      </w:r>
      <w:r>
        <w:rPr/>
        <w:t xml:space="preserve"> </w:t>
      </w:r>
      <w:r>
        <w:rPr/>
        <w:tab/>
        <w:t xml:space="preserve">PG&amp;E notes that separate from this Motion, other events independently may affect the Commission’s consideration of the DWR-related Draft Decisions.  The Legislature is considering legislation, SB XX 18, which would require the Commission to hold a hearing on DWR’s revenue requirement and would require separate rate components for DWR’s debt service and operating expenses, thus possibly mooting the need for the draft DWR-CPUC rate agreement.  Also, PG&amp;E has filed an action in California Superior Court, requesting the court to order DWR to hold a public hearing to determine whether DWR’s revenue requirement and underlying costs are just and reasonable before submitting that revenue requirement for review to the CPUC.  If PG&amp;E’s lawsuit is successful, it would require withdrawal of DWR’s revenue requirement request from the CPUC until DWR has held the lawfully required hearing. </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suff w:val="nothing"/>
      <w:lvlText w:val="%1"/>
      <w:lvlJc w:val="start"/>
      <w:pPr>
        <w:tabs>
          <w:tab w:val="num" w:pos="0"/>
        </w:tabs>
        <w:ind w:start="0" w:hanging="0"/>
      </w:pPr>
    </w:lvl>
    <w:lvl w:ilvl="1">
      <w:start w:val="1"/>
      <w:pStyle w:val="Heading2"/>
      <w:numFmt w:val="upperLetter"/>
      <w:lvlText w:val="%2"/>
      <w:lvlJc w:val="start"/>
      <w:pPr>
        <w:tabs>
          <w:tab w:val="num" w:pos="720"/>
        </w:tabs>
        <w:ind w:start="720" w:hanging="720"/>
      </w:pPr>
    </w:lvl>
    <w:lvl w:ilvl="2">
      <w:start w:val="1"/>
      <w:pStyle w:val="Heading3"/>
      <w:numFmt w:val="decimal"/>
      <w:lvlText w:val="%3"/>
      <w:lvlJc w:val="start"/>
      <w:pPr>
        <w:tabs>
          <w:tab w:val="num" w:pos="720"/>
        </w:tabs>
        <w:ind w:start="720" w:hanging="720"/>
      </w:pPr>
    </w:lvl>
    <w:lvl w:ilvl="3">
      <w:start w:val="1"/>
      <w:pStyle w:val="Heading4"/>
      <w:numFmt w:val="lowerLetter"/>
      <w:lvlText w:val="%4"/>
      <w:lvlJc w:val="start"/>
      <w:pPr>
        <w:tabs>
          <w:tab w:val="num" w:pos="720"/>
        </w:tabs>
        <w:ind w:start="720" w:hanging="720"/>
      </w:pPr>
    </w:lvl>
    <w:lvl w:ilvl="4">
      <w:start w:val="1"/>
      <w:pStyle w:val="Heading5"/>
      <w:numFmt w:val="decimal"/>
      <w:lvlText w:val="%5"/>
      <w:lvlJc w:val="start"/>
      <w:pPr>
        <w:tabs>
          <w:tab w:val="num" w:pos="720"/>
        </w:tabs>
        <w:ind w:start="720" w:hanging="720"/>
      </w:pPr>
    </w:lvl>
    <w:lvl w:ilvl="5">
      <w:start w:val="1"/>
      <w:pStyle w:val="Heading6"/>
      <w:numFmt w:val="lowerLetter"/>
      <w:lvlText w:val="%6"/>
      <w:lvlJc w:val="start"/>
      <w:pPr>
        <w:tabs>
          <w:tab w:val="num" w:pos="720"/>
        </w:tabs>
        <w:ind w:start="720" w:hanging="720"/>
      </w:pPr>
    </w:lvl>
    <w:lvl w:ilvl="6">
      <w:start w:val="1"/>
      <w:pStyle w:val="Heading7"/>
      <w:numFmt w:val="lowerRoman"/>
      <w:lvlText w:val="%7"/>
      <w:lvlJc w:val="start"/>
      <w:pPr>
        <w:tabs>
          <w:tab w:val="num" w:pos="720"/>
        </w:tabs>
        <w:ind w:start="720" w:hanging="720"/>
      </w:pPr>
    </w:lvl>
    <w:lvl w:ilvl="7">
      <w:start w:val="1"/>
      <w:pStyle w:val="Heading8"/>
      <w:numFmt w:val="lowerLetter"/>
      <w:lvlText w:val="%8"/>
      <w:lvlJc w:val="start"/>
      <w:pPr>
        <w:tabs>
          <w:tab w:val="num" w:pos="720"/>
        </w:tabs>
        <w:ind w:start="720" w:hanging="720"/>
      </w:pPr>
    </w:lvl>
    <w:lvl w:ilvl="8">
      <w:start w:val="1"/>
      <w:pStyle w:val="Heading9"/>
      <w:numFmt w:val="lowerRoman"/>
      <w:lvlText w:val="%9"/>
      <w:lvlJc w:val="start"/>
      <w:pPr>
        <w:tabs>
          <w:tab w:val="num" w:pos="720"/>
        </w:tabs>
        <w:ind w:start="720" w:hanging="720"/>
      </w:pPr>
    </w:lvl>
  </w:abstractNum>
  <w:num w:numId="1">
    <w:abstractNumId w:val="1"/>
  </w:num>
</w:numbering>
</file>

<file path=word/settings.xml><?xml version="1.0" encoding="utf-8"?>
<w:settings xmlns:w="http://schemas.openxmlformats.org/wordprocessingml/2006/main">
  <w:zoom w:percent="94"/>
  <w:revisionView w:insDel="0" w:formatting="0"/>
  <w:defaultTabStop w:val="720"/>
  <w:autoHyphenation w:val="true"/>
  <w:hyphenationZone w:val="0"/>
  <w:footnotePr>
    <w:numFmt w:val="decimal"/>
    <w:footnote w:id="0"/>
    <w:footnote w:id="1"/>
  </w:footnotePr>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lineRule="exact" w:line="240"/>
    </w:pPr>
    <w:rPr>
      <w:rFonts w:ascii="Courier New" w:hAnsi="Courier New" w:eastAsia="Courier New" w:cs="Courier New"/>
      <w:color w:val="auto"/>
      <w:sz w:val="24"/>
      <w:szCs w:val="24"/>
      <w:lang w:val="en-US" w:eastAsia="zh-CN" w:bidi="hi-IN"/>
    </w:rPr>
  </w:style>
  <w:style w:type="paragraph" w:styleId="Heading1">
    <w:name w:val="heading 1"/>
    <w:basedOn w:val="Normal"/>
    <w:next w:val="BodyText"/>
    <w:qFormat/>
    <w:pPr>
      <w:keepNext w:val="true"/>
      <w:keepLines/>
      <w:numPr>
        <w:ilvl w:val="0"/>
        <w:numId w:val="1"/>
      </w:numPr>
      <w:spacing w:before="240" w:after="0"/>
      <w:ind w:hanging="720" w:start="720" w:end="0"/>
      <w:outlineLvl w:val="0"/>
    </w:pPr>
    <w:rPr>
      <w:b/>
      <w:bCs/>
      <w:caps/>
    </w:rPr>
  </w:style>
  <w:style w:type="paragraph" w:styleId="Heading2">
    <w:name w:val="heading 2"/>
    <w:basedOn w:val="Heading1"/>
    <w:next w:val="BodyText"/>
    <w:qFormat/>
    <w:pPr>
      <w:numPr>
        <w:ilvl w:val="1"/>
        <w:numId w:val="1"/>
      </w:numPr>
      <w:tabs>
        <w:tab w:val="clear" w:pos="720"/>
      </w:tabs>
      <w:ind w:hanging="720" w:start="2160" w:end="1440"/>
      <w:outlineLvl w:val="1"/>
    </w:pPr>
    <w:rPr>
      <w:caps w:val="false"/>
      <w:smallCaps w:val="false"/>
    </w:rPr>
  </w:style>
  <w:style w:type="paragraph" w:styleId="Heading3">
    <w:name w:val="heading 3"/>
    <w:basedOn w:val="Heading2"/>
    <w:next w:val="BodyText"/>
    <w:qFormat/>
    <w:pPr>
      <w:numPr>
        <w:ilvl w:val="2"/>
        <w:numId w:val="1"/>
      </w:numPr>
      <w:tabs>
        <w:tab w:val="clear" w:pos="720"/>
      </w:tabs>
      <w:ind w:hanging="720" w:start="2880" w:end="1440"/>
      <w:outlineLvl w:val="2"/>
    </w:pPr>
    <w:rPr/>
  </w:style>
  <w:style w:type="paragraph" w:styleId="Heading4">
    <w:name w:val="heading 4"/>
    <w:basedOn w:val="Heading3"/>
    <w:next w:val="BodyText"/>
    <w:qFormat/>
    <w:pPr>
      <w:numPr>
        <w:ilvl w:val="3"/>
        <w:numId w:val="1"/>
      </w:numPr>
      <w:tabs>
        <w:tab w:val="clear" w:pos="720"/>
      </w:tabs>
      <w:ind w:hanging="720" w:start="3600" w:end="1440"/>
      <w:outlineLvl w:val="3"/>
    </w:pPr>
    <w:rPr/>
  </w:style>
  <w:style w:type="paragraph" w:styleId="Heading5">
    <w:name w:val="heading 5"/>
    <w:basedOn w:val="Heading4"/>
    <w:next w:val="BodyText"/>
    <w:qFormat/>
    <w:pPr>
      <w:numPr>
        <w:ilvl w:val="4"/>
        <w:numId w:val="1"/>
      </w:numPr>
      <w:tabs>
        <w:tab w:val="clear" w:pos="720"/>
      </w:tabs>
      <w:ind w:hanging="720" w:start="4320" w:end="1440"/>
      <w:outlineLvl w:val="4"/>
    </w:pPr>
    <w:rPr/>
  </w:style>
  <w:style w:type="paragraph" w:styleId="Heading6">
    <w:name w:val="heading 6"/>
    <w:basedOn w:val="Heading5"/>
    <w:next w:val="BodyText"/>
    <w:qFormat/>
    <w:pPr>
      <w:numPr>
        <w:ilvl w:val="5"/>
        <w:numId w:val="1"/>
      </w:numPr>
      <w:tabs>
        <w:tab w:val="clear" w:pos="720"/>
      </w:tabs>
      <w:ind w:hanging="720" w:start="5040" w:end="1440"/>
      <w:outlineLvl w:val="5"/>
    </w:pPr>
    <w:rPr>
      <w:b w:val="false"/>
      <w:bCs w:val="false"/>
    </w:rPr>
  </w:style>
  <w:style w:type="paragraph" w:styleId="Heading7">
    <w:name w:val="heading 7"/>
    <w:basedOn w:val="Heading6"/>
    <w:next w:val="BodyText"/>
    <w:qFormat/>
    <w:pPr>
      <w:numPr>
        <w:ilvl w:val="6"/>
        <w:numId w:val="1"/>
      </w:numPr>
      <w:tabs>
        <w:tab w:val="clear" w:pos="720"/>
      </w:tabs>
      <w:ind w:hanging="720" w:start="5760" w:end="1440"/>
      <w:outlineLvl w:val="6"/>
    </w:pPr>
    <w:rPr/>
  </w:style>
  <w:style w:type="paragraph" w:styleId="Heading8">
    <w:name w:val="heading 8"/>
    <w:basedOn w:val="Heading7"/>
    <w:next w:val="BodyText"/>
    <w:qFormat/>
    <w:pPr>
      <w:numPr>
        <w:ilvl w:val="7"/>
        <w:numId w:val="1"/>
      </w:numPr>
      <w:tabs>
        <w:tab w:val="clear" w:pos="720"/>
      </w:tabs>
      <w:ind w:hanging="720" w:start="6480" w:end="1440"/>
      <w:outlineLvl w:val="7"/>
    </w:pPr>
    <w:rPr/>
  </w:style>
  <w:style w:type="paragraph" w:styleId="Heading9">
    <w:name w:val="heading 9"/>
    <w:basedOn w:val="Heading8"/>
    <w:next w:val="BodyText"/>
    <w:qFormat/>
    <w:pPr>
      <w:numPr>
        <w:ilvl w:val="8"/>
        <w:numId w:val="1"/>
      </w:numPr>
      <w:tabs>
        <w:tab w:val="clear" w:pos="720"/>
      </w:tabs>
      <w:ind w:hanging="720" w:start="7200" w:end="1440"/>
      <w:outlineLvl w:val="8"/>
    </w:pPr>
    <w:rPr/>
  </w:style>
  <w:style w:type="character" w:styleId="DefaultParagraphFont">
    <w:name w:val="Default Paragraph Font"/>
    <w:qFormat/>
    <w:rPr/>
  </w:style>
  <w:style w:type="character" w:styleId="FootnoteCharacters">
    <w:name w:val="Footnote Characters"/>
    <w:basedOn w:val="DefaultParagraphFont"/>
    <w:qFormat/>
    <w:rPr>
      <w:rFonts w:ascii="Courier New" w:hAnsi="Courier New" w:eastAsia="Courier New" w:cs="Courier New"/>
      <w:color w:val="auto"/>
      <w:spacing w:val="0"/>
      <w:kern w:val="0"/>
      <w:sz w:val="24"/>
      <w:szCs w:val="24"/>
      <w:u w:val="none"/>
      <w:vertAlign w:val="superscript"/>
      <w:lang w:val="en-US"/>
    </w:rPr>
  </w:style>
  <w:style w:type="character" w:styleId="PageNumber">
    <w:name w:val="page number"/>
    <w:basedOn w:val="DefaultParagraphFont"/>
    <w:rPr>
      <w:rFonts w:ascii="Times New Roman" w:hAnsi="Times New Roman" w:eastAsia="Times New Roman" w:cs="Times New Roman"/>
      <w:color w:val="auto"/>
      <w:spacing w:val="0"/>
      <w:kern w:val="0"/>
      <w:position w:val="0"/>
      <w:sz w:val="24"/>
      <w:sz w:val="24"/>
      <w:szCs w:val="24"/>
      <w:u w:val="none"/>
      <w:vertAlign w:val="baseline"/>
      <w:lang w:val="en-US"/>
    </w:rPr>
  </w:style>
  <w:style w:type="character" w:styleId="LetterDate">
    <w:name w:val="LetterDate"/>
    <w:basedOn w:val="DefaultParagraphFont"/>
    <w:qFormat/>
    <w:rPr>
      <w:rFonts w:ascii="Times New Roman" w:hAnsi="Times New Roman" w:eastAsia="Times New Roman" w:cs="Times New Roman"/>
      <w:color w:val="auto"/>
      <w:spacing w:val="0"/>
      <w:kern w:val="0"/>
      <w:position w:val="0"/>
      <w:sz w:val="24"/>
      <w:sz w:val="24"/>
      <w:szCs w:val="24"/>
      <w:u w:val="none"/>
      <w:vertAlign w:val="baseline"/>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spacing w:before="240" w:after="240"/>
      <w:ind w:hanging="0" w:start="720" w:end="720"/>
      <w:jc w:val="center"/>
    </w:pPr>
    <w:rPr>
      <w:b/>
      <w:bCs/>
      <w:kern w:val="2"/>
    </w:rPr>
  </w:style>
  <w:style w:type="paragraph" w:styleId="BodyText">
    <w:name w:val="Body Text"/>
    <w:basedOn w:val="Normal"/>
    <w:pPr>
      <w:widowControl w:val="false"/>
      <w:spacing w:lineRule="exact" w:line="480"/>
      <w:ind w:firstLine="720" w:start="0" w:end="0"/>
    </w:pPr>
    <w:rPr>
      <w:rFonts w:ascii="Times New Roman" w:hAnsi="Times New Roman" w:eastAsia="Times New Roman" w:cs="Times New Roman"/>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next w:val="BodyText"/>
    <w:qFormat/>
    <w:pPr>
      <w:ind w:hanging="0" w:start="360" w:end="0"/>
    </w:pPr>
    <w:rPr/>
  </w:style>
  <w:style w:type="paragraph" w:styleId="Centered">
    <w:name w:val="Centered"/>
    <w:basedOn w:val="Normal"/>
    <w:next w:val="BodyText"/>
    <w:qFormat/>
    <w:pPr>
      <w:spacing w:before="0" w:after="240"/>
      <w:jc w:val="center"/>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widowControl w:val="false"/>
      <w:tabs>
        <w:tab w:val="clear" w:pos="720"/>
        <w:tab w:val="center" w:pos="4320" w:leader="none"/>
        <w:tab w:val="right" w:pos="9821" w:leader="none"/>
      </w:tabs>
    </w:pPr>
    <w:rPr/>
  </w:style>
  <w:style w:type="paragraph" w:styleId="FootnoteText">
    <w:name w:val="footnote text"/>
    <w:basedOn w:val="Normal"/>
    <w:pPr>
      <w:tabs>
        <w:tab w:val="clear" w:pos="720"/>
        <w:tab w:val="left" w:pos="432" w:leader="none"/>
      </w:tabs>
      <w:spacing w:lineRule="auto" w:line="240" w:before="0" w:after="120"/>
      <w:ind w:hanging="432" w:start="432" w:end="0"/>
    </w:pPr>
    <w:rPr>
      <w:rFonts w:ascii="Times New Roman" w:hAnsi="Times New Roman" w:eastAsia="Times New Roman" w:cs="Times New Roman"/>
    </w:rPr>
  </w:style>
  <w:style w:type="paragraph" w:styleId="Header">
    <w:name w:val="header"/>
    <w:basedOn w:val="Normal"/>
    <w:pPr>
      <w:widowControl w:val="false"/>
      <w:tabs>
        <w:tab w:val="clear" w:pos="720"/>
        <w:tab w:val="center" w:pos="4320" w:leader="none"/>
        <w:tab w:val="right" w:pos="9821" w:leader="none"/>
      </w:tabs>
    </w:pPr>
    <w:rPr/>
  </w:style>
  <w:style w:type="paragraph" w:styleId="HeaderNumbers">
    <w:name w:val="HeaderNumbers"/>
    <w:basedOn w:val="Normal"/>
    <w:qFormat/>
    <w:pPr>
      <w:spacing w:lineRule="exact" w:line="480" w:before="720" w:after="0"/>
      <w:ind w:hanging="0" w:start="0" w:end="144"/>
      <w:jc w:val="end"/>
    </w:pPr>
    <w:rPr/>
  </w:style>
  <w:style w:type="paragraph" w:styleId="EnvelopeAddress">
    <w:name w:val="envelope address"/>
    <w:basedOn w:val="Normal"/>
    <w:pPr>
      <w:spacing w:lineRule="auto" w:line="240"/>
      <w:ind w:hanging="0" w:start="2880" w:end="0"/>
    </w:pPr>
    <w:rPr/>
  </w:style>
  <w:style w:type="paragraph" w:styleId="MacroText">
    <w:name w:val="Macro Text"/>
    <w:qFormat/>
    <w:pPr>
      <w:widowControl/>
      <w:tabs>
        <w:tab w:val="clear" w:pos="720"/>
        <w:tab w:val="left" w:pos="475" w:leader="none"/>
        <w:tab w:val="left" w:pos="965" w:leader="none"/>
        <w:tab w:val="left" w:pos="1440" w:leader="none"/>
        <w:tab w:val="left" w:pos="1915" w:leader="none"/>
        <w:tab w:val="left" w:pos="2405" w:leader="none"/>
        <w:tab w:val="left" w:pos="2880" w:leader="none"/>
        <w:tab w:val="left" w:pos="3355" w:leader="none"/>
        <w:tab w:val="left" w:pos="3845" w:leader="none"/>
        <w:tab w:val="left" w:pos="4320" w:leader="none"/>
      </w:tabs>
      <w:bidi w:val="0"/>
    </w:pPr>
    <w:rPr>
      <w:rFonts w:ascii="Times New Roman" w:hAnsi="Times New Roman" w:eastAsia="Times New Roman" w:cs="Times New Roman"/>
      <w:color w:val="auto"/>
      <w:sz w:val="20"/>
      <w:szCs w:val="20"/>
      <w:lang w:val="en-US" w:eastAsia="zh-CN" w:bidi="hi-IN"/>
    </w:rPr>
  </w:style>
  <w:style w:type="paragraph" w:styleId="NormalIndent">
    <w:name w:val="Normal Indent"/>
    <w:basedOn w:val="Normal"/>
    <w:qFormat/>
    <w:pPr>
      <w:ind w:hanging="0" w:start="720" w:end="720"/>
    </w:pPr>
    <w:rPr/>
  </w:style>
  <w:style w:type="paragraph" w:styleId="TOC1">
    <w:name w:val="toc 1"/>
    <w:basedOn w:val="Normal"/>
    <w:pPr>
      <w:keepLines/>
      <w:tabs>
        <w:tab w:val="clear" w:pos="720"/>
        <w:tab w:val="right" w:pos="9360" w:leader="dot"/>
      </w:tabs>
      <w:spacing w:before="0" w:after="120"/>
      <w:ind w:hanging="806" w:start="806" w:end="1440"/>
    </w:pPr>
    <w:rPr>
      <w:caps/>
    </w:rPr>
  </w:style>
  <w:style w:type="paragraph" w:styleId="TOC2">
    <w:name w:val="toc 2"/>
    <w:basedOn w:val="Normal"/>
    <w:pPr>
      <w:tabs>
        <w:tab w:val="clear" w:pos="720"/>
        <w:tab w:val="right" w:pos="9360" w:leader="dot"/>
      </w:tabs>
      <w:spacing w:before="0" w:after="120"/>
      <w:ind w:hanging="634" w:start="1440" w:end="1440"/>
    </w:pPr>
    <w:rPr/>
  </w:style>
  <w:style w:type="paragraph" w:styleId="TOC3">
    <w:name w:val="toc 3"/>
    <w:basedOn w:val="Normal"/>
    <w:pPr>
      <w:keepLines/>
      <w:tabs>
        <w:tab w:val="clear" w:pos="720"/>
        <w:tab w:val="right" w:pos="9360" w:leader="dot"/>
      </w:tabs>
      <w:spacing w:before="0" w:after="120"/>
      <w:ind w:hanging="720" w:start="2160" w:end="1440"/>
    </w:pPr>
    <w:rPr/>
  </w:style>
  <w:style w:type="paragraph" w:styleId="TOC4">
    <w:name w:val="toc 4"/>
    <w:basedOn w:val="Normal"/>
    <w:pPr>
      <w:keepLines/>
      <w:tabs>
        <w:tab w:val="clear" w:pos="720"/>
        <w:tab w:val="right" w:pos="9360" w:leader="dot"/>
      </w:tabs>
      <w:spacing w:before="0" w:after="120"/>
      <w:ind w:hanging="720" w:start="2880" w:end="1440"/>
    </w:pPr>
    <w:rPr/>
  </w:style>
  <w:style w:type="paragraph" w:styleId="TOC5">
    <w:name w:val="toc 5"/>
    <w:basedOn w:val="Normal"/>
    <w:pPr>
      <w:keepLines/>
      <w:tabs>
        <w:tab w:val="clear" w:pos="720"/>
        <w:tab w:val="right" w:pos="9360" w:leader="dot"/>
      </w:tabs>
      <w:spacing w:before="0" w:after="120"/>
      <w:ind w:hanging="720" w:start="3600" w:end="1440"/>
    </w:pPr>
    <w:rPr/>
  </w:style>
  <w:style w:type="paragraph" w:styleId="TOC6">
    <w:name w:val="toc 6"/>
    <w:basedOn w:val="Normal"/>
    <w:pPr>
      <w:keepLines/>
      <w:tabs>
        <w:tab w:val="clear" w:pos="720"/>
        <w:tab w:val="right" w:pos="9360" w:leader="dot"/>
      </w:tabs>
      <w:spacing w:before="0" w:after="120"/>
      <w:ind w:hanging="720" w:start="4320" w:end="1440"/>
    </w:pPr>
    <w:rPr/>
  </w:style>
  <w:style w:type="paragraph" w:styleId="TOC7">
    <w:name w:val="toc 7"/>
    <w:basedOn w:val="Normal"/>
    <w:pPr>
      <w:keepLines/>
      <w:tabs>
        <w:tab w:val="clear" w:pos="720"/>
        <w:tab w:val="right" w:pos="9360" w:leader="dot"/>
      </w:tabs>
      <w:spacing w:before="0" w:after="120"/>
      <w:ind w:hanging="806" w:start="5126" w:end="1440"/>
    </w:pPr>
    <w:rPr/>
  </w:style>
  <w:style w:type="paragraph" w:styleId="TOC8">
    <w:name w:val="toc 8"/>
    <w:basedOn w:val="Normal"/>
    <w:pPr>
      <w:keepLines/>
      <w:tabs>
        <w:tab w:val="clear" w:pos="720"/>
        <w:tab w:val="right" w:pos="9360" w:leader="dot"/>
      </w:tabs>
      <w:spacing w:before="0" w:after="120"/>
      <w:ind w:hanging="634" w:start="5760" w:end="1440"/>
    </w:pPr>
    <w:rPr/>
  </w:style>
  <w:style w:type="paragraph" w:styleId="TOC9">
    <w:name w:val="toc 9"/>
    <w:basedOn w:val="Normal"/>
    <w:pPr>
      <w:keepLines/>
      <w:tabs>
        <w:tab w:val="clear" w:pos="720"/>
        <w:tab w:val="right" w:pos="9360" w:leader="dot"/>
      </w:tabs>
      <w:spacing w:before="0" w:after="120"/>
      <w:ind w:hanging="720" w:start="6480" w:end="1440"/>
    </w:pPr>
    <w:rPr/>
  </w:style>
  <w:style w:type="paragraph" w:styleId="PleadingSignature">
    <w:name w:val="Pleading Signature"/>
    <w:basedOn w:val="Normal"/>
    <w:qFormat/>
    <w:pPr>
      <w:keepNext w:val="true"/>
      <w:keepLines/>
      <w:tabs>
        <w:tab w:val="clear" w:pos="720"/>
        <w:tab w:val="left" w:pos="4867" w:leader="none"/>
        <w:tab w:val="right" w:pos="9000" w:leader="none"/>
      </w:tabs>
      <w:ind w:hanging="4867" w:start="4867" w:end="0"/>
    </w:pPr>
    <w:rPr/>
  </w:style>
  <w:style w:type="paragraph" w:styleId="TOAHeading">
    <w:name w:val="TOA Heading"/>
    <w:basedOn w:val="Normal"/>
    <w:next w:val="TableofAuthorities"/>
    <w:qFormat/>
    <w:pPr>
      <w:keepNext w:val="true"/>
      <w:spacing w:before="120" w:after="120"/>
    </w:pPr>
    <w:rPr>
      <w:b/>
      <w:bCs/>
      <w:caps/>
    </w:rPr>
  </w:style>
  <w:style w:type="paragraph" w:styleId="TableofAuthorities">
    <w:name w:val="Table of Authorities"/>
    <w:basedOn w:val="Normal"/>
    <w:next w:val="Normal"/>
    <w:qFormat/>
    <w:pPr>
      <w:tabs>
        <w:tab w:val="clear" w:pos="720"/>
        <w:tab w:val="right" w:pos="9274" w:leader="dot"/>
      </w:tabs>
      <w:spacing w:before="120" w:after="120"/>
      <w:ind w:hanging="446" w:start="446" w:end="720"/>
    </w:pPr>
    <w:rPr/>
  </w:style>
  <w:style w:type="paragraph" w:styleId="LetterClosing">
    <w:name w:val="LetterClosing"/>
    <w:basedOn w:val="Normal"/>
    <w:next w:val="Normal"/>
    <w:qFormat/>
    <w:pPr/>
    <w:rPr/>
  </w:style>
  <w:style w:type="paragraph" w:styleId="Quote">
    <w:name w:val="Quote"/>
    <w:basedOn w:val="Normal"/>
    <w:next w:val="Normal"/>
    <w:qFormat/>
    <w:pPr>
      <w:spacing w:before="240" w:after="0"/>
      <w:ind w:hanging="0" w:start="1440" w:end="1440"/>
    </w:pPr>
    <w:rPr>
      <w:rFonts w:ascii="Times New Roman" w:hAnsi="Times New Roman" w:eastAsia="Times New Roman" w:cs="Times New Roman"/>
    </w:rPr>
  </w:style>
  <w:style w:type="paragraph" w:styleId="SDP">
    <w:name w:val="SDP"/>
    <w:basedOn w:val="Normal"/>
    <w:qFormat/>
    <w:pPr>
      <w:spacing w:lineRule="auto" w:line="240"/>
      <w:jc w:val="center"/>
    </w:pPr>
    <w:rPr>
      <w:rFonts w:ascii="Times New Roman" w:hAnsi="Times New Roman" w:eastAsia="Times New Roman" w:cs="Times New Roman"/>
    </w:rPr>
  </w:style>
  <w:style w:type="paragraph" w:styleId="Address">
    <w:name w:val="Address"/>
    <w:basedOn w:val="Normal"/>
    <w:qFormat/>
    <w:pPr>
      <w:spacing w:lineRule="auto" w:line="240"/>
    </w:pPr>
    <w:rPr>
      <w:rFonts w:ascii="Times New Roman" w:hAnsi="Times New Roman" w:eastAsia="Times New Roman" w:cs="Times New Roman"/>
    </w:rPr>
  </w:style>
  <w:style w:type="paragraph" w:styleId="WW-Addressee">
    <w:name w:val="WW-Addressee"/>
    <w:basedOn w:val="Normal"/>
    <w:qFormat/>
    <w:pPr>
      <w:spacing w:lineRule="auto" w:line="240"/>
    </w:pPr>
    <w:rPr>
      <w:rFonts w:ascii="Times New Roman" w:hAnsi="Times New Roman" w:eastAsia="Times New Roman" w:cs="Times New Roman"/>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Pldcpuc.dot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2001-09-14T20:25:00Z</dcterms:created>
  <dc:creator>Martie Way</dc:creator>
  <dc:description/>
  <dc:language>en-CA</dc:language>
  <cp:lastModifiedBy>Martie Way</cp:lastModifiedBy>
  <cp:lastPrinted>2001-09-14T15:14:00Z</cp:lastPrinted>
  <dcterms:modified xsi:type="dcterms:W3CDTF">2001-09-14T20:25:00Z</dcterms:modified>
  <cp:revision>2</cp:revision>
  <dc:subject/>
  <dc:title>PG&amp;E CPUC Pleading Template, rev. 8/1/96, The Legal MacPac</dc:title>
</cp:coreProperties>
</file>