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EXHIBIT A</w:t>
      </w:r>
    </w:p>
    <w:p>
      <w:pPr>
        <w:pStyle w:val="Normal"/>
        <w:jc w:val="center"/>
        <w:rPr>
          <w:rFonts w:ascii="Palatino" w:hAnsi="Palatino" w:cs="Palatino"/>
          <w:b/>
          <w:sz w:val="22"/>
        </w:rPr>
      </w:pPr>
      <w:r>
        <w:rPr>
          <w:rFonts w:cs="Palatino" w:ascii="Palatino" w:hAnsi="Palatino"/>
          <w:b/>
          <w:sz w:val="22"/>
        </w:rPr>
        <w:t>DEPARTMENT OF WATER RESOURCES</w:t>
      </w:r>
    </w:p>
    <w:p>
      <w:pPr>
        <w:pStyle w:val="Normal"/>
        <w:jc w:val="center"/>
        <w:rPr>
          <w:rFonts w:ascii="Palatino" w:hAnsi="Palatino" w:cs="Palatino"/>
          <w:b/>
          <w:sz w:val="22"/>
        </w:rPr>
      </w:pPr>
      <w:r>
        <w:rPr>
          <w:rFonts w:cs="Palatino" w:ascii="Palatino" w:hAnsi="Palatino"/>
          <w:b/>
          <w:sz w:val="22"/>
        </w:rPr>
        <w:t>NET SHORT ENERGY REVENUE REQUIREMENT</w:t>
      </w:r>
    </w:p>
    <w:p>
      <w:pPr>
        <w:pStyle w:val="Normal"/>
        <w:jc w:val="center"/>
        <w:rPr>
          <w:rFonts w:ascii="Palatino" w:hAnsi="Palatino" w:cs="Palatino"/>
          <w:b/>
          <w:sz w:val="22"/>
        </w:rPr>
      </w:pPr>
      <w:r>
        <w:rPr>
          <w:rFonts w:cs="Palatino" w:ascii="Palatino" w:hAnsi="Palatino"/>
          <w:b/>
          <w:sz w:val="22"/>
        </w:rPr>
      </w:r>
    </w:p>
    <w:p>
      <w:pPr>
        <w:pStyle w:val="Normal"/>
        <w:rPr>
          <w:rFonts w:ascii="Palatino" w:hAnsi="Palatino" w:cs="Palatino"/>
          <w:b/>
          <w:sz w:val="22"/>
        </w:rPr>
      </w:pPr>
      <w:r>
        <w:rPr>
          <w:rFonts w:cs="Palatino" w:ascii="Palatino" w:hAnsi="Palatino"/>
          <w:b/>
          <w:sz w:val="22"/>
        </w:rPr>
      </w:r>
    </w:p>
    <w:p>
      <w:pPr>
        <w:pStyle w:val="Normal"/>
        <w:rPr>
          <w:rFonts w:ascii="Palatino" w:hAnsi="Palatino" w:cs="Palatino"/>
          <w:b/>
          <w:sz w:val="22"/>
        </w:rPr>
      </w:pPr>
      <w:r>
        <w:rPr>
          <w:rFonts w:cs="Palatino" w:ascii="Palatino" w:hAnsi="Palatino"/>
          <w:b/>
          <w:sz w:val="22"/>
        </w:rPr>
        <w:t xml:space="preserve">The following is the Department’s revenue requirement, quarterly by customer service area, which replaces the May 2, 2001 revenue requirement submitted by the Department.  </w:t>
      </w:r>
    </w:p>
    <w:p>
      <w:pPr>
        <w:pStyle w:val="BodyText2"/>
        <w:rPr/>
      </w:pPr>
      <w:r>
        <w:rPr/>
        <w:t>This revenue requirement is different from the May 2, 2001 revenue requirement due to the extension of the revenue requirement planning period from an end of June 30, 2002 to December 31, 2002, and for the other reasons noted in the cover letter to this filing.</w:t>
      </w:r>
    </w:p>
    <w:p>
      <w:pPr>
        <w:pStyle w:val="BodyText2"/>
        <w:rPr/>
      </w:pPr>
      <w:r>
        <w:rPr/>
      </w:r>
    </w:p>
    <w:p>
      <w:pPr>
        <w:pStyle w:val="Normal"/>
        <w:rPr>
          <w:rFonts w:ascii="NewCenturySchlbk" w:hAnsi="NewCenturySchlbk" w:cs="NewCenturySchlbk"/>
          <w:sz w:val="22"/>
        </w:rPr>
      </w:pPr>
      <w:r>
        <w:rPr>
          <w:rFonts w:cs="Palatino" w:ascii="Palatino" w:hAnsi="Palatino"/>
          <w:sz w:val="22"/>
        </w:rPr>
        <w:t>Table A below summarizes the revenue requirement for each IOU service area.</w:t>
      </w:r>
    </w:p>
    <w:p>
      <w:pPr>
        <w:pStyle w:val="BodyText2"/>
        <w:rPr>
          <w:rFonts w:ascii="NewCenturySchlbk" w:hAnsi="NewCenturySchlbk" w:cs="NewCenturySchlbk"/>
          <w:sz w:val="22"/>
        </w:rPr>
      </w:pPr>
      <w:r>
        <w:rPr>
          <w:rFonts w:cs="NewCenturySchlbk" w:ascii="NewCenturySchlbk" w:hAnsi="NewCenturySchlbk"/>
          <w:sz w:val="22"/>
        </w:rPr>
      </w:r>
    </w:p>
    <w:p>
      <w:pPr>
        <w:pStyle w:val="BodyText2"/>
        <w:rPr/>
      </w:pPr>
      <w:r>
        <w:rPr/>
        <w:t xml:space="preserve">Table A-1 provides the Department’s quarterly Revenue Requirement for the period January 17, 2001, when the Department began purchasing the net short energy requirements of the retail electric customers of the three investor-owned utilities, through December 31, 2002.  Table A-1 (column L) indicates that the Department seeks to collect $13.072 billion from electric customers over sales of 118,930 GWh (first column), for the period extending from January 17, 2001 through December 31, 2002.  </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Table A-2 provides the individual revenue recovery from each of the PG&amp;E, SCE and SDG&amp;E service areas, respectively, for the same time period. The cost of energy purchases by the Department are allocated to the customers of each of the investor owned utilities (IOUs) on a uniform cost per MWh of net short energy purchased by the Department. The proceeds of the bonds to be issued by the Department are allocated among the three IOUs’ customers.  The bond proceeds are applied in a manner to supplement revenue from the customers to the Department such that the net revenue requirement falls within the retail rate adjustments adopted by the Public Utilities Commission for PG&amp;E and SCE, and assumes a comparable rate adjustment for SDG&amp;E.</w:t>
      </w:r>
    </w:p>
    <w:p>
      <w:pPr>
        <w:pStyle w:val="Normal"/>
        <w:rPr>
          <w:rFonts w:ascii="NewCenturySchlbk" w:hAnsi="NewCenturySchlbk" w:cs="NewCenturySchlbk"/>
          <w:sz w:val="22"/>
        </w:rPr>
      </w:pPr>
      <w:r>
        <w:rPr>
          <w:rFonts w:cs="NewCenturySchlbk" w:ascii="NewCenturySchlbk" w:hAnsi="NewCenturySchlbk"/>
          <w:sz w:val="22"/>
        </w:rPr>
      </w:r>
    </w:p>
    <w:p>
      <w:pPr>
        <w:pStyle w:val="Normal"/>
        <w:rPr>
          <w:rFonts w:ascii="NewCenturySchlbk" w:hAnsi="NewCenturySchlbk" w:cs="NewCenturySchlbk"/>
          <w:sz w:val="22"/>
        </w:rPr>
      </w:pPr>
      <w:r>
        <w:rPr>
          <w:rFonts w:cs="NewCenturySchlbk" w:ascii="NewCenturySchlbk" w:hAnsi="NewCenturySchlbk"/>
          <w:sz w:val="22"/>
        </w:rPr>
      </w:r>
    </w:p>
    <w:p>
      <w:pPr>
        <w:pStyle w:val="Footer"/>
        <w:tabs>
          <w:tab w:val="clear" w:pos="4320"/>
          <w:tab w:val="clear" w:pos="8640"/>
        </w:tabs>
        <w:rPr>
          <w:rFonts w:ascii="NewCenturySchlbk" w:hAnsi="NewCenturySchlbk" w:cs="NewCenturySchlbk"/>
          <w:sz w:val="22"/>
        </w:rPr>
      </w:pPr>
      <w:r>
        <w:rPr>
          <w:rFonts w:cs="NewCenturySchlbk" w:ascii="NewCenturySchlbk" w:hAnsi="NewCenturySchlbk"/>
          <w:sz w:val="22"/>
        </w:rPr>
      </w:r>
    </w:p>
    <w:p>
      <w:pPr>
        <w:pStyle w:val="Normal"/>
        <w:rPr>
          <w:rFonts w:ascii="NewCenturySchlbk" w:hAnsi="NewCenturySchlbk" w:cs="NewCenturySchlbk"/>
          <w:sz w:val="22"/>
        </w:rPr>
      </w:pPr>
      <w:r>
        <w:rPr>
          <w:rFonts w:cs="NewCenturySchlbk" w:ascii="NewCenturySchlbk" w:hAnsi="NewCenturySchlbk"/>
          <w:sz w:val="22"/>
        </w:rPr>
        <w:drawing>
          <wp:anchor behindDoc="0" distT="0" distB="0" distL="114935" distR="114935" simplePos="0" locked="0" layoutInCell="0" allowOverlap="1" relativeHeight="15">
            <wp:simplePos x="0" y="0"/>
            <wp:positionH relativeFrom="column">
              <wp:posOffset>0</wp:posOffset>
            </wp:positionH>
            <wp:positionV relativeFrom="paragraph">
              <wp:posOffset>635</wp:posOffset>
            </wp:positionV>
            <wp:extent cx="5480685" cy="132715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20" r="-5" b="-20"/>
                    <a:stretch>
                      <a:fillRect/>
                    </a:stretch>
                  </pic:blipFill>
                  <pic:spPr bwMode="auto">
                    <a:xfrm>
                      <a:off x="0" y="0"/>
                      <a:ext cx="5480685" cy="1327150"/>
                    </a:xfrm>
                    <a:prstGeom prst="rect">
                      <a:avLst/>
                    </a:prstGeom>
                    <a:noFill/>
                  </pic:spPr>
                </pic:pic>
              </a:graphicData>
            </a:graphic>
          </wp:anchor>
        </w:drawing>
      </w:r>
    </w:p>
    <w:p>
      <w:pPr>
        <w:pStyle w:val="Normal"/>
        <w:rPr>
          <w:rFonts w:ascii="NewCenturySchlbk" w:hAnsi="NewCenturySchlbk" w:cs="NewCenturySchlbk"/>
          <w:sz w:val="22"/>
        </w:rPr>
      </w:pPr>
      <w:r>
        <w:rPr>
          <w:rFonts w:cs="NewCenturySchlbk" w:ascii="NewCenturySchlbk" w:hAnsi="NewCenturySchlbk"/>
          <w:sz w:val="22"/>
        </w:rPr>
      </w:r>
    </w:p>
    <w:p>
      <w:pPr>
        <w:pStyle w:val="Normal"/>
        <w:rPr>
          <w:rFonts w:ascii="NewCenturySchlbk" w:hAnsi="NewCenturySchlbk" w:cs="NewCenturySchlbk"/>
          <w:sz w:val="22"/>
        </w:rPr>
      </w:pPr>
      <w:r>
        <w:rPr>
          <w:rFonts w:cs="NewCenturySchlbk" w:ascii="NewCenturySchlbk" w:hAnsi="NewCenturySchlbk"/>
          <w:sz w:val="22"/>
        </w:rPr>
        <w:drawing>
          <wp:anchor behindDoc="0" distT="0" distB="0" distL="114935" distR="114935" simplePos="0" locked="0" layoutInCell="0" allowOverlap="1" relativeHeight="16">
            <wp:simplePos x="0" y="0"/>
            <wp:positionH relativeFrom="column">
              <wp:posOffset>0</wp:posOffset>
            </wp:positionH>
            <wp:positionV relativeFrom="paragraph">
              <wp:posOffset>635</wp:posOffset>
            </wp:positionV>
            <wp:extent cx="5486400" cy="191579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12" r="-4" b="-12"/>
                    <a:stretch>
                      <a:fillRect/>
                    </a:stretch>
                  </pic:blipFill>
                  <pic:spPr bwMode="auto">
                    <a:xfrm>
                      <a:off x="0" y="0"/>
                      <a:ext cx="5486400" cy="1915795"/>
                    </a:xfrm>
                    <a:prstGeom prst="rect">
                      <a:avLst/>
                    </a:prstGeom>
                    <a:noFill/>
                  </pic:spPr>
                </pic:pic>
              </a:graphicData>
            </a:graphic>
          </wp:anchor>
        </w:drawing>
      </w:r>
    </w:p>
    <w:p>
      <w:pPr>
        <w:pStyle w:val="Normal"/>
        <w:rPr>
          <w:rFonts w:ascii="NewCenturySchlbk" w:hAnsi="NewCenturySchlbk" w:cs="NewCenturySchlbk"/>
          <w:sz w:val="22"/>
        </w:rPr>
      </w:pPr>
      <w:r>
        <w:rPr>
          <w:rFonts w:cs="NewCenturySchlbk" w:ascii="NewCenturySchlbk" w:hAnsi="NewCenturySchlbk"/>
          <w:sz w:val="22"/>
        </w:rPr>
      </w:r>
    </w:p>
    <w:p>
      <w:pPr>
        <w:pStyle w:val="BodyText"/>
        <w:rPr>
          <w:rFonts w:ascii="NewCenturySchlbk" w:hAnsi="NewCenturySchlbk" w:cs="NewCenturySchlbk"/>
          <w:color w:val="FF0000"/>
          <w:sz w:val="22"/>
        </w:rPr>
      </w:pPr>
      <w:r>
        <w:rPr>
          <w:rFonts w:cs="NewCenturySchlbk"/>
          <w:color w:val="FF0000"/>
          <w:sz w:val="22"/>
        </w:rPr>
      </w:r>
    </w:p>
    <w:p>
      <w:pPr>
        <w:pStyle w:val="BodyText"/>
        <w:rPr>
          <w:b w:val="false"/>
          <w:color w:val="FF0000"/>
        </w:rPr>
      </w:pPr>
      <w:r>
        <w:rPr>
          <w:b w:val="false"/>
          <w:color w:val="FF0000"/>
        </w:rPr>
        <w:drawing>
          <wp:anchor behindDoc="0" distT="0" distB="0" distL="114935" distR="114935" simplePos="0" locked="0" layoutInCell="0" allowOverlap="1" relativeHeight="21">
            <wp:simplePos x="0" y="0"/>
            <wp:positionH relativeFrom="column">
              <wp:posOffset>0</wp:posOffset>
            </wp:positionH>
            <wp:positionV relativeFrom="paragraph">
              <wp:posOffset>635</wp:posOffset>
            </wp:positionV>
            <wp:extent cx="5481320" cy="181991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13" r="-4" b="-13"/>
                    <a:stretch>
                      <a:fillRect/>
                    </a:stretch>
                  </pic:blipFill>
                  <pic:spPr bwMode="auto">
                    <a:xfrm>
                      <a:off x="0" y="0"/>
                      <a:ext cx="5481320" cy="1819910"/>
                    </a:xfrm>
                    <a:prstGeom prst="rect">
                      <a:avLst/>
                    </a:prstGeom>
                    <a:noFill/>
                  </pic:spPr>
                </pic:pic>
              </a:graphicData>
            </a:graphic>
          </wp:anchor>
        </w:drawing>
      </w:r>
    </w:p>
    <w:p>
      <w:pPr>
        <w:pStyle w:val="BodyTextIndent3"/>
        <w:ind w:start="360" w:end="0"/>
        <w:rPr>
          <w:rFonts w:ascii="Palatino" w:hAnsi="Palatino" w:cs="Palatino"/>
          <w:b/>
          <w:sz w:val="22"/>
        </w:rPr>
      </w:pPr>
      <w:r>
        <w:rPr>
          <w:rFonts w:cs="Palatino" w:ascii="Palatino" w:hAnsi="Palatino"/>
          <w:b/>
          <w:sz w:val="22"/>
        </w:rPr>
        <w:t>Breakdown of Revenue Requirement Cost Components</w:t>
      </w:r>
    </w:p>
    <w:p>
      <w:pPr>
        <w:pStyle w:val="BodyTextIndent3"/>
        <w:ind w:start="360" w:end="0"/>
        <w:rPr>
          <w:rFonts w:ascii="Palatino" w:hAnsi="Palatino" w:cs="Palatino"/>
          <w:b/>
          <w:sz w:val="22"/>
        </w:rPr>
      </w:pPr>
      <w:r>
        <w:rPr>
          <w:rFonts w:cs="Palatino" w:ascii="Palatino" w:hAnsi="Palatino"/>
          <w:b/>
          <w:sz w:val="22"/>
        </w:rPr>
      </w:r>
    </w:p>
    <w:p>
      <w:pPr>
        <w:pStyle w:val="BodyTextIndent3"/>
        <w:ind w:start="0" w:end="0"/>
        <w:rPr/>
      </w:pPr>
      <w:r>
        <w:rPr>
          <w:rFonts w:eastAsia="Palatino" w:cs="Palatino" w:ascii="Palatino" w:hAnsi="Palatino"/>
          <w:sz w:val="22"/>
        </w:rPr>
        <w:t xml:space="preserve">      </w:t>
      </w:r>
      <w:r>
        <w:rPr>
          <w:rFonts w:cs="Palatino" w:ascii="Palatino" w:hAnsi="Palatino"/>
          <w:sz w:val="22"/>
        </w:rPr>
        <w:t>The following provides a</w:t>
      </w:r>
      <w:r>
        <w:rPr>
          <w:rFonts w:cs="Palatino" w:ascii="Palatino" w:hAnsi="Palatino"/>
          <w:b/>
          <w:sz w:val="22"/>
        </w:rPr>
        <w:t xml:space="preserve"> </w:t>
      </w:r>
      <w:r>
        <w:rPr>
          <w:rFonts w:cs="Palatino" w:ascii="Palatino" w:hAnsi="Palatino"/>
          <w:sz w:val="22"/>
        </w:rPr>
        <w:t>quarterly breakdown of certain components of the current DWR Revenue Requirement, by service area, generally broken down by each of the six specified categories in Water Code Section 80134, together with certain additional detail.  These 6 categories, in the order set forth in the statute, are the following:</w:t>
      </w:r>
    </w:p>
    <w:p>
      <w:pPr>
        <w:pStyle w:val="Normal"/>
        <w:rPr>
          <w:rFonts w:ascii="Palatino" w:hAnsi="Palatino" w:cs="Palatino"/>
          <w:sz w:val="22"/>
        </w:rPr>
      </w:pPr>
      <w:r>
        <w:rPr>
          <w:rFonts w:cs="Palatino" w:ascii="Palatino" w:hAnsi="Palatino"/>
          <w:sz w:val="22"/>
        </w:rPr>
      </w:r>
    </w:p>
    <w:p>
      <w:pPr>
        <w:pStyle w:val="Normal"/>
        <w:numPr>
          <w:ilvl w:val="0"/>
          <w:numId w:val="5"/>
        </w:numPr>
        <w:rPr>
          <w:rFonts w:ascii="Palatino" w:hAnsi="Palatino" w:cs="Palatino"/>
          <w:sz w:val="22"/>
        </w:rPr>
      </w:pPr>
      <w:r>
        <w:rPr>
          <w:rFonts w:cs="Palatino" w:ascii="Palatino" w:hAnsi="Palatino"/>
          <w:sz w:val="22"/>
        </w:rPr>
        <w:t>Bond related costs, including principal and interest amounts</w:t>
      </w:r>
    </w:p>
    <w:p>
      <w:pPr>
        <w:pStyle w:val="Normal"/>
        <w:numPr>
          <w:ilvl w:val="0"/>
          <w:numId w:val="5"/>
        </w:numPr>
        <w:rPr>
          <w:rFonts w:ascii="Palatino" w:hAnsi="Palatino" w:cs="Palatino"/>
          <w:sz w:val="22"/>
        </w:rPr>
      </w:pPr>
      <w:r>
        <w:rPr>
          <w:rFonts w:cs="Palatino" w:ascii="Palatino" w:hAnsi="Palatino"/>
          <w:sz w:val="22"/>
        </w:rPr>
        <w:t>Operating expenses, including power purchase, fuel, transmission, scheduling and demand side management, but not including administrative costs</w:t>
      </w:r>
    </w:p>
    <w:p>
      <w:pPr>
        <w:pStyle w:val="Normal"/>
        <w:numPr>
          <w:ilvl w:val="0"/>
          <w:numId w:val="5"/>
        </w:numPr>
        <w:rPr>
          <w:rFonts w:ascii="Palatino" w:hAnsi="Palatino" w:cs="Palatino"/>
          <w:sz w:val="22"/>
        </w:rPr>
      </w:pPr>
      <w:r>
        <w:rPr>
          <w:rFonts w:cs="Palatino" w:ascii="Palatino" w:hAnsi="Palatino"/>
          <w:sz w:val="22"/>
        </w:rPr>
        <w:t>Reserves</w:t>
      </w:r>
    </w:p>
    <w:p>
      <w:pPr>
        <w:pStyle w:val="Normal"/>
        <w:numPr>
          <w:ilvl w:val="0"/>
          <w:numId w:val="5"/>
        </w:numPr>
        <w:rPr>
          <w:rFonts w:ascii="Palatino" w:hAnsi="Palatino" w:cs="Palatino"/>
          <w:b/>
          <w:sz w:val="22"/>
        </w:rPr>
      </w:pPr>
      <w:r>
        <w:rPr>
          <w:rFonts w:cs="Palatino" w:ascii="Palatino" w:hAnsi="Palatino"/>
          <w:sz w:val="22"/>
        </w:rPr>
        <w:t>Pooled Money Investment Rate on funds advanced</w:t>
      </w:r>
    </w:p>
    <w:p>
      <w:pPr>
        <w:pStyle w:val="Normal"/>
        <w:numPr>
          <w:ilvl w:val="0"/>
          <w:numId w:val="5"/>
        </w:numPr>
        <w:rPr>
          <w:rFonts w:ascii="Palatino" w:hAnsi="Palatino" w:cs="Palatino"/>
          <w:sz w:val="22"/>
        </w:rPr>
      </w:pPr>
      <w:r>
        <w:rPr>
          <w:rFonts w:cs="Palatino" w:ascii="Palatino" w:hAnsi="Palatino"/>
          <w:sz w:val="22"/>
        </w:rPr>
        <w:t xml:space="preserve">Repayment of the General Fund </w:t>
      </w:r>
    </w:p>
    <w:p>
      <w:pPr>
        <w:pStyle w:val="Normal"/>
        <w:numPr>
          <w:ilvl w:val="0"/>
          <w:numId w:val="5"/>
        </w:numPr>
        <w:rPr>
          <w:rFonts w:ascii="Palatino" w:hAnsi="Palatino" w:cs="Palatino"/>
          <w:sz w:val="22"/>
        </w:rPr>
      </w:pPr>
      <w:r>
        <w:rPr>
          <w:rFonts w:cs="Palatino" w:ascii="Palatino" w:hAnsi="Palatino"/>
          <w:sz w:val="22"/>
        </w:rPr>
        <w:t>Administrative costs</w:t>
      </w:r>
    </w:p>
    <w:p>
      <w:pPr>
        <w:pStyle w:val="Normal"/>
        <w:rPr>
          <w:rFonts w:ascii="Palatino" w:hAnsi="Palatino" w:cs="Palatino"/>
          <w:sz w:val="22"/>
        </w:rPr>
      </w:pPr>
      <w:r>
        <w:rPr>
          <w:rFonts w:cs="Palatino" w:ascii="Palatino" w:hAnsi="Palatino"/>
          <w:sz w:val="22"/>
        </w:rPr>
      </w:r>
    </w:p>
    <w:p>
      <w:pPr>
        <w:pStyle w:val="BodyText2"/>
        <w:rPr>
          <w:b/>
        </w:rPr>
      </w:pPr>
      <w:r>
        <w:rPr>
          <w:b/>
        </w:rPr>
        <w:t>Bond related costs, including principal and interest amounts</w:t>
      </w:r>
    </w:p>
    <w:p>
      <w:pPr>
        <w:pStyle w:val="BodyText2"/>
        <w:rPr>
          <w:b/>
        </w:rPr>
      </w:pPr>
      <w:r>
        <w:rPr>
          <w:b/>
        </w:rPr>
      </w:r>
    </w:p>
    <w:p>
      <w:pPr>
        <w:pStyle w:val="BodyText2"/>
        <w:rPr/>
      </w:pPr>
      <w:r>
        <w:rPr/>
        <w:t>The total bond issuance is projected to be $12.5 billion--$8.5 billion tax-exempt and $4.0 billion taxable. The average all-in rate on tax-exempt bonds is assumed to be 5.77 percent per annum. The average all-in rate for the taxable bonds is assumed to be 7.77 percent per annum.  The final maturity of the bonds is scheduled to be May 1, 2016.</w:t>
      </w:r>
    </w:p>
    <w:p>
      <w:pPr>
        <w:pStyle w:val="BodyText2"/>
        <w:rPr/>
      </w:pPr>
      <w:r>
        <w:rPr/>
      </w:r>
    </w:p>
    <w:p>
      <w:pPr>
        <w:pStyle w:val="Normal"/>
        <w:rPr>
          <w:rFonts w:ascii="Palatino" w:hAnsi="Palatino" w:cs="Palatino"/>
          <w:sz w:val="22"/>
        </w:rPr>
      </w:pPr>
      <w:r>
        <w:rPr>
          <w:rFonts w:cs="Palatino" w:ascii="Palatino" w:hAnsi="Palatino"/>
          <w:sz w:val="22"/>
        </w:rPr>
        <w:t xml:space="preserve">The long-term bond financing is currently structured to have interest funded or “capitalized” from bond proceeds through mid-October 2002.  Total capitalized interest is projected to be $780.8 million.  Therefore, there are no financing costs from the long-term bonds in the Department’s Revenue Requirement before September 1, 2002.  Beginning on September 1, 2002, the Department will be required to set aside funds to make semiannual debt service payments.  These debt service deposits will be net of interest earnings of 5 percent per annum on the Electric Power Fund balance and the bond debt service reserve fund.  </w:t>
      </w:r>
    </w:p>
    <w:p>
      <w:pPr>
        <w:pStyle w:val="Normal"/>
        <w:rPr>
          <w:rFonts w:ascii="Palatino" w:hAnsi="Palatino" w:cs="Palatino"/>
          <w:sz w:val="22"/>
        </w:rPr>
      </w:pPr>
      <w:r>
        <w:rPr>
          <w:rFonts w:cs="Palatino" w:ascii="Palatino" w:hAnsi="Palatino"/>
          <w:sz w:val="22"/>
        </w:rPr>
      </w:r>
    </w:p>
    <w:p>
      <w:pPr>
        <w:pStyle w:val="Normal"/>
        <w:rPr/>
      </w:pPr>
      <w:r>
        <w:rPr>
          <w:rFonts w:cs="Palatino" w:ascii="Palatino" w:hAnsi="Palatino"/>
          <w:sz w:val="22"/>
        </w:rPr>
        <w:t>No bond principal amortization is scheduled until May 1, 2004.  Deposits for principal payments into the Debt Service Account begin March 1, 2003.  General Fund appropriations and the interim loan are to be repaid from bond proceeds</w:t>
      </w:r>
      <w:r>
        <w:rPr>
          <w:rFonts w:cs="Book Antiqua;Times New Roman" w:ascii="Book Antiqua;Times New Roman" w:hAnsi="Book Antiqua;Times New Roman"/>
          <w:sz w:val="22"/>
        </w:rPr>
        <w:t>.</w:t>
      </w:r>
    </w:p>
    <w:p>
      <w:pPr>
        <w:pStyle w:val="Normal"/>
        <w:spacing w:lineRule="auto" w:line="360"/>
        <w:jc w:val="both"/>
        <w:rPr>
          <w:rFonts w:ascii="Book Antiqua;Times New Roman" w:hAnsi="Book Antiqua;Times New Roman" w:cs="Book Antiqua;Times New Roman"/>
          <w:sz w:val="22"/>
        </w:rPr>
      </w:pPr>
      <w:r>
        <w:rPr>
          <w:rFonts w:cs="Book Antiqua;Times New Roman" w:ascii="Book Antiqua;Times New Roman" w:hAnsi="Book Antiqua;Times New Roman"/>
          <w:sz w:val="22"/>
        </w:rPr>
      </w:r>
    </w:p>
    <w:p>
      <w:pPr>
        <w:pStyle w:val="Normal"/>
        <w:rPr>
          <w:rFonts w:ascii="Palatino" w:hAnsi="Palatino" w:cs="Palatino"/>
          <w:b/>
          <w:sz w:val="22"/>
        </w:rPr>
      </w:pPr>
      <w:r>
        <w:rPr>
          <w:rFonts w:cs="Palatino" w:ascii="Palatino" w:hAnsi="Palatino"/>
          <w:b/>
          <w:sz w:val="22"/>
        </w:rPr>
        <w:t>Operating expenses, including power purchase costs, fuel costs, transmission, scheduling and demand side management, and including administrative costs:</w:t>
      </w:r>
    </w:p>
    <w:p>
      <w:pPr>
        <w:pStyle w:val="Normal"/>
        <w:rPr>
          <w:rFonts w:ascii="Palatino" w:hAnsi="Palatino" w:cs="Palatino"/>
          <w:b/>
          <w:sz w:val="22"/>
        </w:rPr>
      </w:pPr>
      <w:r>
        <w:rPr>
          <w:rFonts w:cs="Palatino" w:ascii="Palatino" w:hAnsi="Palatino"/>
          <w:b/>
          <w:sz w:val="22"/>
        </w:rPr>
      </w:r>
    </w:p>
    <w:p>
      <w:pPr>
        <w:pStyle w:val="Normal"/>
        <w:rPr>
          <w:rFonts w:ascii="Palatino" w:hAnsi="Palatino" w:cs="Palatino"/>
          <w:b/>
          <w:color w:val="FF0000"/>
          <w:sz w:val="28"/>
        </w:rPr>
      </w:pPr>
      <w:r>
        <w:rPr>
          <w:rFonts w:cs="Palatino" w:ascii="Palatino" w:hAnsi="Palatino"/>
          <w:sz w:val="22"/>
        </w:rPr>
        <w:t xml:space="preserve">Certain operating expenses and administrative costs (A&amp;G) are shown in columns B through I in Table A-3 for the three IOU service areas combined, and as allocated for each of the individual service areas in Tables A-4, A-5 and A-6.  Column A in each such table provides the associated GWh of sales.   Fuel costs are included in the total energy costs through the use of a generation dispatch model used for estimating the quantity and price of energy. Gas prices assumed in the analysis are as shown in Table A-7. </w:t>
      </w:r>
    </w:p>
    <w:p>
      <w:pPr>
        <w:pStyle w:val="Normal"/>
        <w:rPr>
          <w:rFonts w:ascii="Palatino" w:hAnsi="Palatino" w:cs="Palatino"/>
          <w:b/>
          <w:color w:val="FF0000"/>
          <w:sz w:val="28"/>
        </w:rPr>
      </w:pPr>
      <w:r>
        <w:rPr>
          <w:rFonts w:cs="Palatino" w:ascii="Palatino" w:hAnsi="Palatino"/>
          <w:b/>
          <w:color w:val="FF0000"/>
          <w:sz w:val="28"/>
        </w:rPr>
      </w:r>
    </w:p>
    <w:p>
      <w:pPr>
        <w:pStyle w:val="Normal"/>
        <w:rPr>
          <w:rFonts w:ascii="Palatino" w:hAnsi="Palatino" w:cs="Palatino"/>
          <w:b/>
          <w:color w:val="FF0000"/>
          <w:sz w:val="28"/>
        </w:rPr>
      </w:pPr>
      <w:r>
        <w:rPr>
          <w:rFonts w:cs="Palatino" w:ascii="Palatino" w:hAnsi="Palatino"/>
          <w:b/>
          <w:color w:val="FF0000"/>
          <w:sz w:val="28"/>
        </w:rPr>
        <w:drawing>
          <wp:anchor behindDoc="0" distT="0" distB="0" distL="114935" distR="114935" simplePos="0" locked="0" layoutInCell="0" allowOverlap="1" relativeHeight="17">
            <wp:simplePos x="0" y="0"/>
            <wp:positionH relativeFrom="column">
              <wp:posOffset>0</wp:posOffset>
            </wp:positionH>
            <wp:positionV relativeFrom="paragraph">
              <wp:posOffset>635</wp:posOffset>
            </wp:positionV>
            <wp:extent cx="5485765" cy="1414780"/>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3" t="-13" r="-3" b="-13"/>
                    <a:stretch>
                      <a:fillRect/>
                    </a:stretch>
                  </pic:blipFill>
                  <pic:spPr bwMode="auto">
                    <a:xfrm>
                      <a:off x="0" y="0"/>
                      <a:ext cx="5485765" cy="1414780"/>
                    </a:xfrm>
                    <a:prstGeom prst="rect">
                      <a:avLst/>
                    </a:prstGeom>
                    <a:noFill/>
                  </pic:spPr>
                </pic:pic>
              </a:graphicData>
            </a:graphic>
          </wp:anchor>
        </w:drawing>
      </w:r>
    </w:p>
    <w:p>
      <w:pPr>
        <w:pStyle w:val="Normal"/>
        <w:rPr>
          <w:rFonts w:ascii="Palatino" w:hAnsi="Palatino" w:cs="Palatino"/>
          <w:b/>
          <w:color w:val="FF0000"/>
          <w:sz w:val="28"/>
        </w:rPr>
      </w:pPr>
      <w:r>
        <w:rPr>
          <w:rFonts w:cs="Palatino" w:ascii="Palatino" w:hAnsi="Palatino"/>
          <w:b/>
          <w:color w:val="FF0000"/>
          <w:sz w:val="28"/>
        </w:rPr>
      </w:r>
    </w:p>
    <w:p>
      <w:pPr>
        <w:pStyle w:val="Normal"/>
        <w:rPr>
          <w:rFonts w:ascii="Palatino" w:hAnsi="Palatino" w:cs="Palatino"/>
          <w:b/>
          <w:color w:val="FF0000"/>
          <w:sz w:val="28"/>
        </w:rPr>
      </w:pPr>
      <w:r>
        <w:rPr>
          <w:rFonts w:cs="Palatino" w:ascii="Palatino" w:hAnsi="Palatino"/>
          <w:b/>
          <w:color w:val="FF0000"/>
          <w:sz w:val="28"/>
        </w:rPr>
      </w:r>
    </w:p>
    <w:p>
      <w:pPr>
        <w:pStyle w:val="Normal"/>
        <w:rPr>
          <w:rFonts w:ascii="Palatino" w:hAnsi="Palatino" w:cs="Palatino"/>
          <w:b/>
          <w:color w:val="FF0000"/>
          <w:sz w:val="28"/>
        </w:rPr>
      </w:pPr>
      <w:r>
        <w:rPr>
          <w:rFonts w:cs="Palatino" w:ascii="Palatino" w:hAnsi="Palatino"/>
          <w:b/>
          <w:color w:val="FF0000"/>
          <w:sz w:val="28"/>
        </w:rPr>
        <w:drawing>
          <wp:anchor behindDoc="0" distT="0" distB="0" distL="114935" distR="114935" simplePos="0" locked="0" layoutInCell="0" allowOverlap="1" relativeHeight="18">
            <wp:simplePos x="0" y="0"/>
            <wp:positionH relativeFrom="column">
              <wp:posOffset>0</wp:posOffset>
            </wp:positionH>
            <wp:positionV relativeFrom="paragraph">
              <wp:posOffset>635</wp:posOffset>
            </wp:positionV>
            <wp:extent cx="5485765" cy="1414780"/>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3" t="-13" r="-3" b="-13"/>
                    <a:stretch>
                      <a:fillRect/>
                    </a:stretch>
                  </pic:blipFill>
                  <pic:spPr bwMode="auto">
                    <a:xfrm>
                      <a:off x="0" y="0"/>
                      <a:ext cx="5485765" cy="1414780"/>
                    </a:xfrm>
                    <a:prstGeom prst="rect">
                      <a:avLst/>
                    </a:prstGeom>
                    <a:noFill/>
                  </pic:spPr>
                </pic:pic>
              </a:graphicData>
            </a:graphic>
          </wp:anchor>
        </w:drawing>
      </w:r>
    </w:p>
    <w:p>
      <w:pPr>
        <w:pStyle w:val="Normal"/>
        <w:rPr>
          <w:rFonts w:ascii="Palatino" w:hAnsi="Palatino" w:cs="Palatino"/>
          <w:b/>
          <w:color w:val="FF0000"/>
          <w:sz w:val="28"/>
        </w:rPr>
      </w:pPr>
      <w:r>
        <w:rPr>
          <w:rFonts w:cs="Palatino" w:ascii="Palatino" w:hAnsi="Palatino"/>
          <w:b/>
          <w:color w:val="FF0000"/>
          <w:sz w:val="28"/>
        </w:rPr>
      </w:r>
    </w:p>
    <w:p>
      <w:pPr>
        <w:pStyle w:val="Normal"/>
        <w:rPr>
          <w:rFonts w:ascii="Palatino" w:hAnsi="Palatino" w:cs="Palatino"/>
          <w:b/>
          <w:color w:val="FF0000"/>
          <w:sz w:val="28"/>
        </w:rPr>
      </w:pPr>
      <w:r>
        <w:rPr>
          <w:rFonts w:cs="Palatino" w:ascii="Palatino" w:hAnsi="Palatino"/>
          <w:b/>
          <w:color w:val="FF0000"/>
          <w:sz w:val="28"/>
        </w:rPr>
        <w:drawing>
          <wp:anchor behindDoc="0" distT="0" distB="0" distL="114935" distR="114935" simplePos="0" locked="0" layoutInCell="0" allowOverlap="1" relativeHeight="19">
            <wp:simplePos x="0" y="0"/>
            <wp:positionH relativeFrom="column">
              <wp:posOffset>0</wp:posOffset>
            </wp:positionH>
            <wp:positionV relativeFrom="paragraph">
              <wp:posOffset>635</wp:posOffset>
            </wp:positionV>
            <wp:extent cx="5485765" cy="1414780"/>
            <wp:effectExtent l="0" t="0" r="0" b="0"/>
            <wp:wrapTopAndBottom/>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3" t="-13" r="-3" b="-13"/>
                    <a:stretch>
                      <a:fillRect/>
                    </a:stretch>
                  </pic:blipFill>
                  <pic:spPr bwMode="auto">
                    <a:xfrm>
                      <a:off x="0" y="0"/>
                      <a:ext cx="5485765" cy="1414780"/>
                    </a:xfrm>
                    <a:prstGeom prst="rect">
                      <a:avLst/>
                    </a:prstGeom>
                    <a:noFill/>
                  </pic:spPr>
                </pic:pic>
              </a:graphicData>
            </a:graphic>
          </wp:anchor>
        </w:drawing>
      </w:r>
    </w:p>
    <w:p>
      <w:pPr>
        <w:pStyle w:val="Normal"/>
        <w:rPr>
          <w:rFonts w:ascii="Palatino" w:hAnsi="Palatino" w:cs="Palatino"/>
          <w:b/>
          <w:color w:val="FF0000"/>
          <w:sz w:val="28"/>
        </w:rPr>
      </w:pPr>
      <w:r>
        <w:rPr>
          <w:rFonts w:cs="Palatino" w:ascii="Palatino" w:hAnsi="Palatino"/>
          <w:b/>
          <w:color w:val="FF0000"/>
          <w:sz w:val="28"/>
        </w:rPr>
        <w:drawing>
          <wp:anchor behindDoc="0" distT="0" distB="0" distL="114935" distR="114935" simplePos="0" locked="0" layoutInCell="0" allowOverlap="1" relativeHeight="20">
            <wp:simplePos x="0" y="0"/>
            <wp:positionH relativeFrom="column">
              <wp:posOffset>0</wp:posOffset>
            </wp:positionH>
            <wp:positionV relativeFrom="paragraph">
              <wp:posOffset>635</wp:posOffset>
            </wp:positionV>
            <wp:extent cx="5485765" cy="1414780"/>
            <wp:effectExtent l="0" t="0" r="0" b="0"/>
            <wp:wrapTopAndBottom/>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3" t="-13" r="-3" b="-13"/>
                    <a:stretch>
                      <a:fillRect/>
                    </a:stretch>
                  </pic:blipFill>
                  <pic:spPr bwMode="auto">
                    <a:xfrm>
                      <a:off x="0" y="0"/>
                      <a:ext cx="5485765" cy="1414780"/>
                    </a:xfrm>
                    <a:prstGeom prst="rect">
                      <a:avLst/>
                    </a:prstGeom>
                    <a:noFill/>
                  </pic:spPr>
                </pic:pic>
              </a:graphicData>
            </a:graphic>
          </wp:anchor>
        </w:drawing>
      </w:r>
    </w:p>
    <w:p>
      <w:pPr>
        <w:pStyle w:val="Normal"/>
        <w:rPr>
          <w:rFonts w:ascii="Palatino" w:hAnsi="Palatino" w:cs="Palatino"/>
          <w:b/>
          <w:color w:val="FF0000"/>
          <w:sz w:val="28"/>
        </w:rPr>
      </w:pPr>
      <w:r>
        <w:rPr>
          <w:rFonts w:cs="Palatino" w:ascii="Palatino" w:hAnsi="Palatino"/>
          <w:b/>
          <w:color w:val="FF0000"/>
          <w:sz w:val="28"/>
        </w:rPr>
      </w:r>
    </w:p>
    <w:p>
      <w:pPr>
        <w:pStyle w:val="BodyText2"/>
        <w:rPr>
          <w:rFonts w:ascii="Palatino" w:hAnsi="Palatino" w:cs="Palatino"/>
          <w:b/>
          <w:color w:val="FF0000"/>
          <w:sz w:val="28"/>
        </w:rPr>
      </w:pPr>
      <w:r>
        <w:rPr>
          <w:rFonts w:cs="Palatino"/>
          <w:b/>
          <w:color w:val="FF0000"/>
          <w:sz w:val="28"/>
        </w:rPr>
        <w:drawing>
          <wp:anchor behindDoc="0" distT="0" distB="0" distL="114935" distR="114935" simplePos="0" locked="0" layoutInCell="0" allowOverlap="1" relativeHeight="13">
            <wp:simplePos x="0" y="0"/>
            <wp:positionH relativeFrom="column">
              <wp:posOffset>1371600</wp:posOffset>
            </wp:positionH>
            <wp:positionV relativeFrom="paragraph">
              <wp:posOffset>635</wp:posOffset>
            </wp:positionV>
            <wp:extent cx="2816225" cy="1360170"/>
            <wp:effectExtent l="0" t="0" r="0" b="0"/>
            <wp:wrapTopAndBottom/>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rcRect l="-10" t="-21" r="-10" b="-21"/>
                    <a:stretch>
                      <a:fillRect/>
                    </a:stretch>
                  </pic:blipFill>
                  <pic:spPr bwMode="auto">
                    <a:xfrm>
                      <a:off x="0" y="0"/>
                      <a:ext cx="2816225" cy="1360170"/>
                    </a:xfrm>
                    <a:prstGeom prst="rect">
                      <a:avLst/>
                    </a:prstGeom>
                    <a:noFill/>
                  </pic:spPr>
                </pic:pic>
              </a:graphicData>
            </a:graphic>
          </wp:anchor>
        </w:drawing>
      </w:r>
    </w:p>
    <w:p>
      <w:pPr>
        <w:pStyle w:val="BodyText2"/>
        <w:rPr/>
      </w:pPr>
      <w:r>
        <w:rPr/>
        <w:t>The Department requires each generator who is under contract to the Department to be its own scheduling coordinator at a cost to be included in the total cost of energy purchased by the Department.  The IOUs are responsible for their own scheduling functions as a cost allocated to the respective IOU’s cost of service in their own rates.</w:t>
      </w:r>
    </w:p>
    <w:p>
      <w:pPr>
        <w:pStyle w:val="BodyText2"/>
        <w:rPr>
          <w:b/>
        </w:rPr>
      </w:pPr>
      <w:r>
        <w:rPr>
          <w:b/>
        </w:rPr>
      </w:r>
    </w:p>
    <w:p>
      <w:pPr>
        <w:pStyle w:val="BodyText2"/>
        <w:rPr/>
      </w:pPr>
      <w:r>
        <w:rPr/>
        <w:t>The estimated kWh of savings due to demand-side management and conservation programs, per month are as shown in Exhibit B and Table Bf-1 included with this filing.  Exhibit B provides a description of the DSM/Conservation programs relied upon to produce these savings, and the estimated costs by month and their derivation are described in Exhibit B.</w:t>
      </w:r>
    </w:p>
    <w:p>
      <w:pPr>
        <w:pStyle w:val="BodyText2"/>
        <w:rPr/>
      </w:pPr>
      <w:r>
        <w:rPr/>
      </w:r>
    </w:p>
    <w:p>
      <w:pPr>
        <w:pStyle w:val="BodyText2"/>
        <w:rPr>
          <w:b/>
        </w:rPr>
      </w:pPr>
      <w:r>
        <w:rPr>
          <w:b/>
        </w:rPr>
        <w:t>Reserves</w:t>
      </w:r>
    </w:p>
    <w:p>
      <w:pPr>
        <w:pStyle w:val="BodyText2"/>
        <w:rPr>
          <w:b/>
        </w:rPr>
      </w:pPr>
      <w:r>
        <w:rPr>
          <w:b/>
        </w:rPr>
      </w:r>
    </w:p>
    <w:p>
      <w:pPr>
        <w:pStyle w:val="BodyText2"/>
        <w:rPr>
          <w:b/>
        </w:rPr>
      </w:pPr>
      <w:r>
        <w:rPr/>
        <w:t>Bond proceeds are used to fund a debt service reserve fund (DSRF). The DSRF represents 50 percent of maximum annual debt service. The $707.2 million DSRF is funded with cash (rather than surety bonds).  An additional reserve fund, a rolling debt service coverage fund of $495.012  million is also funded with bond proceeds.  The DSRF and rolling coverage reserve funds are in addition to the Electric Power Fund balance noted in Table A-1.</w:t>
      </w:r>
    </w:p>
    <w:p>
      <w:pPr>
        <w:pStyle w:val="BodyText2"/>
        <w:rPr>
          <w:b/>
        </w:rPr>
      </w:pPr>
      <w:r>
        <w:rPr>
          <w:b/>
        </w:rPr>
      </w:r>
    </w:p>
    <w:p>
      <w:pPr>
        <w:pStyle w:val="BodyText2"/>
        <w:rPr>
          <w:b/>
        </w:rPr>
      </w:pPr>
      <w:r>
        <w:rPr>
          <w:b/>
        </w:rPr>
        <w:t>Pooled Money Investment Rate on funds advanced</w:t>
      </w:r>
    </w:p>
    <w:p>
      <w:pPr>
        <w:pStyle w:val="BodyText2"/>
        <w:rPr>
          <w:b/>
          <w:color w:val="FF0000"/>
        </w:rPr>
      </w:pPr>
      <w:r>
        <w:rPr>
          <w:b/>
          <w:color w:val="FF0000"/>
        </w:rPr>
      </w:r>
    </w:p>
    <w:p>
      <w:pPr>
        <w:pStyle w:val="Normal"/>
        <w:rPr>
          <w:rFonts w:ascii="Palatino" w:hAnsi="Palatino" w:cs="Palatino"/>
          <w:sz w:val="22"/>
        </w:rPr>
      </w:pPr>
      <w:r>
        <w:rPr>
          <w:rFonts w:cs="Palatino" w:ascii="Palatino" w:hAnsi="Palatino"/>
          <w:sz w:val="22"/>
        </w:rPr>
        <w:t xml:space="preserve">Column J in Table A-1 is the total monthly financing cost. These costs include an interest charge per annum on General Fund advances that have been made to pay for net short energy costs. Interest on General Fund monies advanced to the Electric Power Fund will be charged at the quarterly average pooled money investment rate based on the average loan balance during each quarter.  The average pooled money investment rate for the first quarter of 2001 was 6.175 percent and the average rate for the second quarter was 5.329 percent. </w:t>
      </w:r>
    </w:p>
    <w:p>
      <w:pPr>
        <w:pStyle w:val="BodyText2"/>
        <w:rPr>
          <w:rFonts w:ascii="Palatino" w:hAnsi="Palatino" w:cs="Palatino"/>
          <w:b/>
          <w:sz w:val="22"/>
        </w:rPr>
      </w:pPr>
      <w:r>
        <w:rPr>
          <w:rFonts w:cs="Palatino"/>
          <w:b/>
          <w:sz w:val="22"/>
        </w:rPr>
      </w:r>
    </w:p>
    <w:p>
      <w:pPr>
        <w:pStyle w:val="BodyText2"/>
        <w:rPr>
          <w:b/>
        </w:rPr>
      </w:pPr>
      <w:r>
        <w:rPr>
          <w:b/>
        </w:rPr>
      </w:r>
    </w:p>
    <w:p>
      <w:pPr>
        <w:pStyle w:val="BodyText2"/>
        <w:rPr>
          <w:b/>
        </w:rPr>
      </w:pPr>
      <w:r>
        <w:rPr>
          <w:b/>
        </w:rPr>
      </w:r>
    </w:p>
    <w:p>
      <w:pPr>
        <w:pStyle w:val="BodyText2"/>
        <w:rPr>
          <w:b/>
        </w:rPr>
      </w:pPr>
      <w:r>
        <w:rPr>
          <w:b/>
        </w:rPr>
        <w:t>Administrative Costs</w:t>
      </w:r>
    </w:p>
    <w:p>
      <w:pPr>
        <w:pStyle w:val="BodyText2"/>
        <w:rPr/>
      </w:pPr>
      <w:r>
        <w:rPr/>
      </w:r>
    </w:p>
    <w:p>
      <w:pPr>
        <w:pStyle w:val="BodyText2"/>
        <w:rPr/>
      </w:pPr>
      <w:r>
        <w:rPr/>
        <w:t>A&amp;G expenses for the Department on an annual basis are found in column B of Tables A-3 through A-6. The A&amp;G breakdown on an annual basis includes (costs shown are based on 2001):</w:t>
      </w:r>
    </w:p>
    <w:p>
      <w:pPr>
        <w:pStyle w:val="BodyText2"/>
        <w:rPr/>
      </w:pPr>
      <w:r>
        <w:rPr/>
      </w:r>
    </w:p>
    <w:tbl>
      <w:tblPr>
        <w:tblW w:w="4410" w:type="dxa"/>
        <w:jc w:val="start"/>
        <w:tblInd w:w="1548" w:type="dxa"/>
        <w:tblLayout w:type="fixed"/>
        <w:tblCellMar>
          <w:top w:w="0" w:type="dxa"/>
          <w:start w:w="108" w:type="dxa"/>
          <w:bottom w:w="0" w:type="dxa"/>
          <w:end w:w="108" w:type="dxa"/>
        </w:tblCellMar>
      </w:tblPr>
      <w:tblGrid>
        <w:gridCol w:w="3240"/>
        <w:gridCol w:w="1170"/>
      </w:tblGrid>
      <w:tr>
        <w:trPr/>
        <w:tc>
          <w:tcPr>
            <w:tcW w:w="3240" w:type="dxa"/>
            <w:tcBorders/>
          </w:tcPr>
          <w:p>
            <w:pPr>
              <w:pStyle w:val="Normal"/>
              <w:snapToGrid w:val="false"/>
              <w:rPr>
                <w:rFonts w:ascii="Palatino" w:hAnsi="Palatino" w:cs="Palatino"/>
                <w:sz w:val="22"/>
              </w:rPr>
            </w:pPr>
            <w:r>
              <w:rPr>
                <w:rFonts w:cs="Palatino" w:ascii="Palatino" w:hAnsi="Palatino"/>
                <w:sz w:val="22"/>
              </w:rPr>
            </w:r>
          </w:p>
        </w:tc>
        <w:tc>
          <w:tcPr>
            <w:tcW w:w="1170" w:type="dxa"/>
            <w:tcBorders/>
          </w:tcPr>
          <w:p>
            <w:pPr>
              <w:pStyle w:val="Normal"/>
              <w:jc w:val="end"/>
              <w:rPr>
                <w:rFonts w:ascii="Palatino" w:hAnsi="Palatino" w:cs="Palatino"/>
                <w:sz w:val="22"/>
              </w:rPr>
            </w:pPr>
            <w:r>
              <w:rPr>
                <w:rFonts w:cs="Palatino" w:ascii="Palatino" w:hAnsi="Palatino"/>
                <w:sz w:val="22"/>
                <w:u w:val="single"/>
              </w:rPr>
              <w:t>($000s)</w:t>
            </w:r>
          </w:p>
        </w:tc>
      </w:tr>
      <w:tr>
        <w:trPr/>
        <w:tc>
          <w:tcPr>
            <w:tcW w:w="3240" w:type="dxa"/>
            <w:tcBorders/>
          </w:tcPr>
          <w:p>
            <w:pPr>
              <w:pStyle w:val="Normal"/>
              <w:rPr>
                <w:rFonts w:ascii="Palatino" w:hAnsi="Palatino" w:cs="Palatino"/>
                <w:sz w:val="22"/>
              </w:rPr>
            </w:pPr>
            <w:r>
              <w:rPr>
                <w:rFonts w:cs="Palatino" w:ascii="Palatino" w:hAnsi="Palatino"/>
                <w:sz w:val="22"/>
              </w:rPr>
              <w:t>Labor Including Benefits</w:t>
            </w:r>
          </w:p>
        </w:tc>
        <w:tc>
          <w:tcPr>
            <w:tcW w:w="1170" w:type="dxa"/>
            <w:tcBorders/>
          </w:tcPr>
          <w:p>
            <w:pPr>
              <w:pStyle w:val="Normal"/>
              <w:jc w:val="end"/>
              <w:rPr>
                <w:rFonts w:ascii="Palatino" w:hAnsi="Palatino" w:cs="Palatino"/>
                <w:sz w:val="22"/>
              </w:rPr>
            </w:pPr>
            <w:r>
              <w:rPr>
                <w:rFonts w:cs="Palatino" w:ascii="Palatino" w:hAnsi="Palatino"/>
                <w:sz w:val="22"/>
              </w:rPr>
              <w:t>$11,513</w:t>
            </w:r>
          </w:p>
        </w:tc>
      </w:tr>
      <w:tr>
        <w:trPr/>
        <w:tc>
          <w:tcPr>
            <w:tcW w:w="3240" w:type="dxa"/>
            <w:tcBorders/>
          </w:tcPr>
          <w:p>
            <w:pPr>
              <w:pStyle w:val="Normal"/>
              <w:rPr>
                <w:rFonts w:ascii="Palatino" w:hAnsi="Palatino" w:cs="Palatino"/>
                <w:sz w:val="22"/>
              </w:rPr>
            </w:pPr>
            <w:r>
              <w:rPr>
                <w:rFonts w:cs="Palatino" w:ascii="Palatino" w:hAnsi="Palatino"/>
                <w:sz w:val="22"/>
              </w:rPr>
              <w:t>Capital Expenditures</w:t>
            </w:r>
          </w:p>
        </w:tc>
        <w:tc>
          <w:tcPr>
            <w:tcW w:w="1170" w:type="dxa"/>
            <w:tcBorders/>
          </w:tcPr>
          <w:p>
            <w:pPr>
              <w:pStyle w:val="Normal"/>
              <w:jc w:val="end"/>
              <w:rPr>
                <w:rFonts w:ascii="Palatino" w:hAnsi="Palatino" w:cs="Palatino"/>
                <w:sz w:val="22"/>
              </w:rPr>
            </w:pPr>
            <w:r>
              <w:rPr>
                <w:rFonts w:cs="Palatino" w:ascii="Palatino" w:hAnsi="Palatino"/>
                <w:sz w:val="22"/>
              </w:rPr>
              <w:t>$2,919</w:t>
            </w:r>
          </w:p>
        </w:tc>
      </w:tr>
      <w:tr>
        <w:trPr/>
        <w:tc>
          <w:tcPr>
            <w:tcW w:w="3240" w:type="dxa"/>
            <w:tcBorders/>
          </w:tcPr>
          <w:p>
            <w:pPr>
              <w:pStyle w:val="Normal"/>
              <w:rPr>
                <w:rFonts w:ascii="Palatino" w:hAnsi="Palatino" w:cs="Palatino"/>
                <w:sz w:val="22"/>
              </w:rPr>
            </w:pPr>
            <w:r>
              <w:rPr>
                <w:rFonts w:cs="Palatino" w:ascii="Palatino" w:hAnsi="Palatino"/>
                <w:sz w:val="22"/>
              </w:rPr>
              <w:t>Professional Service Fees</w:t>
            </w:r>
          </w:p>
        </w:tc>
        <w:tc>
          <w:tcPr>
            <w:tcW w:w="1170" w:type="dxa"/>
            <w:tcBorders/>
          </w:tcPr>
          <w:p>
            <w:pPr>
              <w:pStyle w:val="Normal"/>
              <w:jc w:val="end"/>
              <w:rPr>
                <w:rFonts w:ascii="Palatino" w:hAnsi="Palatino" w:cs="Palatino"/>
                <w:sz w:val="22"/>
              </w:rPr>
            </w:pPr>
            <w:r>
              <w:rPr>
                <w:rFonts w:cs="Palatino" w:ascii="Palatino" w:hAnsi="Palatino"/>
                <w:sz w:val="22"/>
              </w:rPr>
              <w:t>$9,905</w:t>
            </w:r>
          </w:p>
        </w:tc>
      </w:tr>
      <w:tr>
        <w:trPr/>
        <w:tc>
          <w:tcPr>
            <w:tcW w:w="3240" w:type="dxa"/>
            <w:tcBorders/>
          </w:tcPr>
          <w:p>
            <w:pPr>
              <w:pStyle w:val="Normal"/>
              <w:rPr>
                <w:rFonts w:ascii="Palatino" w:hAnsi="Palatino" w:cs="Palatino"/>
                <w:sz w:val="22"/>
              </w:rPr>
            </w:pPr>
            <w:r>
              <w:rPr>
                <w:rFonts w:cs="Palatino" w:ascii="Palatino" w:hAnsi="Palatino"/>
                <w:sz w:val="22"/>
              </w:rPr>
              <w:t>Other A&amp;G</w:t>
              <w:tab/>
            </w:r>
          </w:p>
        </w:tc>
        <w:tc>
          <w:tcPr>
            <w:tcW w:w="1170" w:type="dxa"/>
            <w:tcBorders/>
          </w:tcPr>
          <w:p>
            <w:pPr>
              <w:pStyle w:val="Normal"/>
              <w:jc w:val="end"/>
              <w:rPr>
                <w:rFonts w:ascii="Palatino" w:hAnsi="Palatino" w:cs="Palatino"/>
                <w:sz w:val="22"/>
              </w:rPr>
            </w:pPr>
            <w:r>
              <w:rPr>
                <w:rFonts w:cs="Palatino" w:ascii="Palatino" w:hAnsi="Palatino"/>
                <w:sz w:val="22"/>
                <w:u w:val="single"/>
              </w:rPr>
              <w:t>$1,246</w:t>
            </w:r>
          </w:p>
        </w:tc>
      </w:tr>
      <w:tr>
        <w:trPr/>
        <w:tc>
          <w:tcPr>
            <w:tcW w:w="3240" w:type="dxa"/>
            <w:tcBorders/>
          </w:tcPr>
          <w:p>
            <w:pPr>
              <w:pStyle w:val="Normal"/>
              <w:rPr>
                <w:rFonts w:ascii="Palatino" w:hAnsi="Palatino" w:cs="Palatino"/>
                <w:sz w:val="22"/>
              </w:rPr>
            </w:pPr>
            <w:r>
              <w:rPr>
                <w:rFonts w:cs="Palatino" w:ascii="Palatino" w:hAnsi="Palatino"/>
                <w:sz w:val="22"/>
              </w:rPr>
              <w:t>Total</w:t>
            </w:r>
          </w:p>
        </w:tc>
        <w:tc>
          <w:tcPr>
            <w:tcW w:w="1170" w:type="dxa"/>
            <w:tcBorders/>
          </w:tcPr>
          <w:p>
            <w:pPr>
              <w:pStyle w:val="Normal"/>
              <w:jc w:val="end"/>
              <w:rPr>
                <w:rFonts w:ascii="Palatino" w:hAnsi="Palatino" w:cs="Palatino"/>
                <w:sz w:val="22"/>
              </w:rPr>
            </w:pPr>
            <w:r>
              <w:rPr>
                <w:rFonts w:cs="Palatino" w:ascii="Palatino" w:hAnsi="Palatino"/>
                <w:sz w:val="22"/>
              </w:rPr>
              <w:t>$24,772</w:t>
            </w:r>
          </w:p>
        </w:tc>
      </w:tr>
    </w:tbl>
    <w:p>
      <w:pPr>
        <w:sectPr>
          <w:footerReference w:type="default" r:id="rId10"/>
          <w:type w:val="nextPage"/>
          <w:pgSz w:w="12240" w:h="15840"/>
          <w:pgMar w:left="1584" w:right="1584" w:gutter="0" w:header="0" w:top="1440" w:footer="720" w:bottom="1152"/>
          <w:pgNumType w:fmt="decimal"/>
          <w:formProt w:val="false"/>
          <w:textDirection w:val="lrTb"/>
          <w:docGrid w:type="default" w:linePitch="360" w:charSpace="0"/>
        </w:sectPr>
      </w:pPr>
    </w:p>
    <w:p>
      <w:pPr>
        <w:pStyle w:val="Heading3"/>
        <w:spacing w:before="0" w:after="60"/>
        <w:ind w:hanging="0" w:start="0"/>
        <w:jc w:val="center"/>
        <w:rPr>
          <w:rFonts w:ascii="Palatino" w:hAnsi="Palatino" w:cs="Palatino"/>
          <w:b/>
          <w:caps/>
          <w:sz w:val="22"/>
        </w:rPr>
      </w:pPr>
      <w:r>
        <w:rPr>
          <w:rFonts w:cs="Palatino" w:ascii="Palatino" w:hAnsi="Palatino"/>
          <w:b/>
          <w:caps/>
          <w:sz w:val="22"/>
        </w:rPr>
        <w:t>EXHIBIT B</w:t>
      </w:r>
    </w:p>
    <w:p>
      <w:pPr>
        <w:pStyle w:val="Heading3"/>
        <w:spacing w:before="0" w:after="60"/>
        <w:ind w:hanging="0" w:start="0"/>
        <w:jc w:val="center"/>
        <w:rPr>
          <w:rFonts w:ascii="Palatino" w:hAnsi="Palatino" w:cs="Palatino"/>
          <w:b/>
          <w:caps/>
          <w:sz w:val="22"/>
        </w:rPr>
      </w:pPr>
      <w:r>
        <w:rPr>
          <w:rFonts w:cs="Palatino" w:ascii="Palatino" w:hAnsi="Palatino"/>
          <w:b/>
          <w:caps/>
          <w:sz w:val="22"/>
        </w:rPr>
        <w:t>DEMAND SIDE MANAGEMENT, Conservation and Load Management (dsm, C &amp; LM)</w:t>
      </w:r>
    </w:p>
    <w:p>
      <w:pPr>
        <w:pStyle w:val="Heading3"/>
        <w:spacing w:before="0" w:after="60"/>
        <w:ind w:hanging="0" w:start="0"/>
        <w:jc w:val="center"/>
        <w:rPr>
          <w:caps/>
        </w:rPr>
      </w:pPr>
      <w:r>
        <w:rPr>
          <w:rFonts w:cs="Palatino" w:ascii="Palatino" w:hAnsi="Palatino"/>
          <w:b/>
          <w:caps/>
          <w:sz w:val="22"/>
        </w:rPr>
        <w:t>Revenue Requirements</w:t>
      </w:r>
    </w:p>
    <w:p>
      <w:pPr>
        <w:pStyle w:val="Footer"/>
        <w:tabs>
          <w:tab w:val="clear" w:pos="4320"/>
          <w:tab w:val="clear" w:pos="8640"/>
        </w:tabs>
        <w:rPr>
          <w:caps/>
        </w:rPr>
      </w:pPr>
      <w:r>
        <w:rPr>
          <w:caps/>
        </w:rPr>
      </w:r>
    </w:p>
    <w:p>
      <w:pPr>
        <w:pStyle w:val="Normal"/>
        <w:rPr>
          <w:rFonts w:ascii="Palatino" w:hAnsi="Palatino" w:cs="Palatino"/>
          <w:sz w:val="22"/>
        </w:rPr>
      </w:pPr>
      <w:r>
        <w:rPr>
          <w:rFonts w:cs="Palatino" w:ascii="Palatino" w:hAnsi="Palatino"/>
          <w:sz w:val="22"/>
        </w:rPr>
        <w:t>The Department’s conservation and load management (DSM, C &amp; LM) revenue requirements cover the following programs:</w:t>
      </w:r>
    </w:p>
    <w:p>
      <w:pPr>
        <w:pStyle w:val="Normal"/>
        <w:rPr>
          <w:rFonts w:ascii="Palatino" w:hAnsi="Palatino" w:cs="Palatino"/>
          <w:sz w:val="22"/>
        </w:rPr>
      </w:pPr>
      <w:r>
        <w:rPr>
          <w:rFonts w:cs="Palatino" w:ascii="Palatino" w:hAnsi="Palatino"/>
          <w:sz w:val="22"/>
        </w:rPr>
      </w:r>
    </w:p>
    <w:p>
      <w:pPr>
        <w:pStyle w:val="Normal"/>
        <w:numPr>
          <w:ilvl w:val="0"/>
          <w:numId w:val="7"/>
        </w:numPr>
        <w:rPr>
          <w:rFonts w:ascii="Palatino" w:hAnsi="Palatino" w:cs="Palatino"/>
          <w:sz w:val="22"/>
        </w:rPr>
      </w:pPr>
      <w:r>
        <w:rPr>
          <w:rFonts w:cs="Palatino" w:ascii="Palatino" w:hAnsi="Palatino"/>
          <w:sz w:val="22"/>
        </w:rPr>
        <w:t xml:space="preserve">20/20 Rebate Program -- established through Executive Order D-30-01. The program provides a rebate equal to 20% of the bill to customers who reduce their energy use by at least 20% relative to the same time period in 2000 (for SDG&amp;E customers, the threshold is 15% reduction, for commercial and industrial customers, the 20% reduction must be during peak period and the 20% credit only applies to peak period charges). </w:t>
      </w:r>
    </w:p>
    <w:p>
      <w:pPr>
        <w:pStyle w:val="Normal"/>
        <w:rPr>
          <w:rFonts w:ascii="Palatino" w:hAnsi="Palatino" w:cs="Palatino"/>
          <w:sz w:val="22"/>
        </w:rPr>
      </w:pPr>
      <w:r>
        <w:rPr>
          <w:rFonts w:cs="Palatino" w:ascii="Palatino" w:hAnsi="Palatino"/>
          <w:sz w:val="22"/>
        </w:rPr>
      </w:r>
    </w:p>
    <w:p>
      <w:pPr>
        <w:pStyle w:val="Normal"/>
        <w:numPr>
          <w:ilvl w:val="0"/>
          <w:numId w:val="10"/>
        </w:numPr>
        <w:rPr>
          <w:rFonts w:ascii="Palatino" w:hAnsi="Palatino" w:cs="Palatino"/>
          <w:sz w:val="22"/>
        </w:rPr>
      </w:pPr>
      <w:r>
        <w:rPr>
          <w:rFonts w:cs="Palatino" w:ascii="Palatino" w:hAnsi="Palatino"/>
          <w:sz w:val="22"/>
        </w:rPr>
        <w:t xml:space="preserve">Demand bidding -- established through Executive Order D-39-01. This program is under development. All existing participants in the Discretionary Load Control Program (ISO) and the IOU's Voluntary Demand Reduction Program are assumed to be rolled into the new Demand Bidding program. </w:t>
      </w:r>
    </w:p>
    <w:p>
      <w:pPr>
        <w:pStyle w:val="Normal"/>
        <w:rPr>
          <w:rFonts w:ascii="Palatino" w:hAnsi="Palatino" w:cs="Palatino"/>
          <w:sz w:val="22"/>
        </w:rPr>
      </w:pPr>
      <w:r>
        <w:rPr>
          <w:rFonts w:cs="Palatino" w:ascii="Palatino" w:hAnsi="Palatino"/>
          <w:sz w:val="22"/>
        </w:rPr>
      </w:r>
    </w:p>
    <w:p>
      <w:pPr>
        <w:pStyle w:val="Normal"/>
        <w:numPr>
          <w:ilvl w:val="0"/>
          <w:numId w:val="3"/>
        </w:numPr>
        <w:rPr>
          <w:rFonts w:ascii="Palatino" w:hAnsi="Palatino" w:cs="Palatino"/>
          <w:sz w:val="22"/>
        </w:rPr>
      </w:pPr>
      <w:r>
        <w:rPr>
          <w:rFonts w:cs="Palatino" w:ascii="Palatino" w:hAnsi="Palatino"/>
          <w:sz w:val="22"/>
        </w:rPr>
        <w:t>Load management programs developed by the California ISO, which the DWR is now responsible for funding. These programs include the Demand Relief Program (DRP) and the Discretionary Load Control Program (DLCP). The DLCP will be rolled to the Demand Bidding program when it is established in mid-July.</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Revenue requirements by type of program and month are summarized in Exhibit B-1.</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The 20/20 program revenue requirements are estimated to be $350 million. It is assumed that one-quarter of these costs will be incurred in each of the four summer months during which the program operates. The energy savings are estimated at 1896 GWh (including T&amp;D loss savings) and 1091 MW. The estimated program impacts have taken into account the potential for double counting of conservation effects from multiple programs, price response, and behavioral response due to awareness of the energy crises.</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The table shows total forecasted load management of 2,816 MW, with 1,816 MW in IOU programs and 1,000 MW in ISO programs (DRP, and Demand Bidding -- DB). The utility programs include: existing interruptible, Optional Binding Mandatory Curtailment, Voluntary Demand Reduction Program, air conditioning load control, agriculture pumping load control, Base Interruptible and the Scheduled Load Reduction Program. As of June 21, 2001, approximately 1406 MW were enrolled in these programs. The costs of the utility load management programs is estimated using an average cost of $550/MWh and assuming that the programs are utilized for 24 hours per month, for the four summer months. None of the costs for these programs are included in DWR's revenue requirements.</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DWR is responsible for funding the ISO's Demand Relief Program (DRP), the Discretionary Load Control Program (will be rolled into the Demand Bidding program), and the Demand Bidding (DB). 1,000 MW are assumed to enroll in these programs. The Demand Relief program costs are assumed to include the following:</w:t>
      </w:r>
    </w:p>
    <w:p>
      <w:pPr>
        <w:pStyle w:val="Normal"/>
        <w:rPr>
          <w:rFonts w:ascii="Palatino" w:hAnsi="Palatino" w:cs="Palatino"/>
          <w:sz w:val="22"/>
        </w:rPr>
      </w:pPr>
      <w:r>
        <w:rPr>
          <w:rFonts w:cs="Palatino" w:ascii="Palatino" w:hAnsi="Palatino"/>
          <w:sz w:val="22"/>
        </w:rPr>
      </w:r>
    </w:p>
    <w:p>
      <w:pPr>
        <w:pStyle w:val="Normal"/>
        <w:numPr>
          <w:ilvl w:val="0"/>
          <w:numId w:val="9"/>
        </w:numPr>
        <w:rPr>
          <w:rFonts w:ascii="Palatino" w:hAnsi="Palatino" w:cs="Palatino"/>
          <w:sz w:val="22"/>
        </w:rPr>
      </w:pPr>
      <w:r>
        <w:rPr>
          <w:rFonts w:cs="Palatino" w:ascii="Palatino" w:hAnsi="Palatino"/>
          <w:sz w:val="22"/>
        </w:rPr>
        <w:t>Authorization for 500 MW</w:t>
      </w:r>
    </w:p>
    <w:p>
      <w:pPr>
        <w:pStyle w:val="Normal"/>
        <w:numPr>
          <w:ilvl w:val="0"/>
          <w:numId w:val="9"/>
        </w:numPr>
        <w:rPr>
          <w:rFonts w:ascii="Palatino" w:hAnsi="Palatino" w:cs="Palatino"/>
          <w:sz w:val="22"/>
        </w:rPr>
      </w:pPr>
      <w:r>
        <w:rPr>
          <w:rFonts w:cs="Palatino" w:ascii="Palatino" w:hAnsi="Palatino"/>
          <w:sz w:val="22"/>
        </w:rPr>
        <w:t>$20,000 per MW capacity payment for 2001, but with a contractual obligation to participate in 2002 with no additional capacity payment</w:t>
      </w:r>
    </w:p>
    <w:p>
      <w:pPr>
        <w:pStyle w:val="Normal"/>
        <w:numPr>
          <w:ilvl w:val="0"/>
          <w:numId w:val="9"/>
        </w:numPr>
        <w:rPr>
          <w:rFonts w:ascii="Palatino" w:hAnsi="Palatino" w:cs="Palatino"/>
          <w:sz w:val="22"/>
        </w:rPr>
      </w:pPr>
      <w:r>
        <w:rPr>
          <w:rFonts w:cs="Palatino" w:ascii="Palatino" w:hAnsi="Palatino"/>
          <w:sz w:val="22"/>
        </w:rPr>
        <w:t>$500 MWh for curtailed load</w:t>
      </w:r>
    </w:p>
    <w:p>
      <w:pPr>
        <w:pStyle w:val="Normal"/>
        <w:numPr>
          <w:ilvl w:val="0"/>
          <w:numId w:val="9"/>
        </w:numPr>
        <w:rPr>
          <w:rFonts w:ascii="Palatino" w:hAnsi="Palatino" w:cs="Palatino"/>
          <w:sz w:val="22"/>
        </w:rPr>
      </w:pPr>
      <w:r>
        <w:rPr>
          <w:rFonts w:cs="Palatino" w:ascii="Palatino" w:hAnsi="Palatino"/>
          <w:sz w:val="22"/>
        </w:rPr>
        <w:t xml:space="preserve">40 hours per month </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Based upon these program parameters, the DRP is estimated to cost $20 million per month for the four summer months in 2001. In 2002, the program costs are $10 million per summer month. The lower costs are due the fact the entire capacity payments are being made in 2001.</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The Demand Bidding (DB) program allows customers to post the amount of load that they will curtail at set prices. In estimating the revenue requirements for this program, we assumed:</w:t>
      </w:r>
    </w:p>
    <w:p>
      <w:pPr>
        <w:pStyle w:val="Normal"/>
        <w:rPr>
          <w:rFonts w:ascii="Palatino" w:hAnsi="Palatino" w:cs="Palatino"/>
          <w:sz w:val="22"/>
        </w:rPr>
      </w:pPr>
      <w:r>
        <w:rPr>
          <w:rFonts w:cs="Palatino" w:ascii="Palatino" w:hAnsi="Palatino"/>
          <w:sz w:val="22"/>
        </w:rPr>
      </w:r>
    </w:p>
    <w:p>
      <w:pPr>
        <w:pStyle w:val="Normal"/>
        <w:numPr>
          <w:ilvl w:val="0"/>
          <w:numId w:val="4"/>
        </w:numPr>
        <w:rPr>
          <w:rFonts w:ascii="Palatino" w:hAnsi="Palatino" w:cs="Palatino"/>
          <w:sz w:val="22"/>
        </w:rPr>
      </w:pPr>
      <w:r>
        <w:rPr>
          <w:rFonts w:cs="Palatino" w:ascii="Palatino" w:hAnsi="Palatino"/>
          <w:sz w:val="22"/>
        </w:rPr>
        <w:t>500 MW of capacity (as of June 21, there were 279 MW in the VDRP and 35 MW in the DLCP -- both programs will be rolled into the DB program).</w:t>
      </w:r>
    </w:p>
    <w:p>
      <w:pPr>
        <w:pStyle w:val="Normal"/>
        <w:numPr>
          <w:ilvl w:val="0"/>
          <w:numId w:val="4"/>
        </w:numPr>
        <w:rPr>
          <w:rFonts w:ascii="Palatino" w:hAnsi="Palatino" w:cs="Palatino"/>
          <w:sz w:val="22"/>
        </w:rPr>
      </w:pPr>
      <w:r>
        <w:rPr>
          <w:rFonts w:cs="Palatino" w:ascii="Palatino" w:hAnsi="Palatino"/>
          <w:sz w:val="22"/>
        </w:rPr>
        <w:t>24 hours per month for the four summer months</w:t>
      </w:r>
    </w:p>
    <w:p>
      <w:pPr>
        <w:pStyle w:val="Normal"/>
        <w:numPr>
          <w:ilvl w:val="0"/>
          <w:numId w:val="4"/>
        </w:numPr>
        <w:rPr>
          <w:rFonts w:ascii="Palatino" w:hAnsi="Palatino" w:cs="Palatino"/>
          <w:sz w:val="22"/>
        </w:rPr>
      </w:pPr>
      <w:r>
        <w:rPr>
          <w:rFonts w:cs="Palatino" w:ascii="Palatino" w:hAnsi="Palatino"/>
          <w:sz w:val="22"/>
        </w:rPr>
        <w:t>An average cost of $350/MWh</w:t>
      </w:r>
    </w:p>
    <w:p>
      <w:pPr>
        <w:pStyle w:val="Normal"/>
        <w:numPr>
          <w:ilvl w:val="0"/>
          <w:numId w:val="4"/>
        </w:numPr>
        <w:rPr>
          <w:rFonts w:ascii="Palatino" w:hAnsi="Palatino" w:cs="Palatino"/>
          <w:sz w:val="22"/>
        </w:rPr>
      </w:pPr>
      <w:r>
        <w:rPr>
          <w:rFonts w:cs="Palatino" w:ascii="Palatino" w:hAnsi="Palatino"/>
          <w:sz w:val="22"/>
        </w:rPr>
        <w:t>Program administration costs of $1.1 million per month, plus $1.2 million for initial programming and set-up were estimated based upon the costs estimates developed for the 20/20 program. These costs are incurred by the utilities and reimbursed by DWR.</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The total monthly DB costs are estimated to be $5.3 million, with $4.2 million being the payments to customers. In June, 2001, another 1.2 million of program set-up costs are incurred (these are utility costs, reimbursed by DWR).</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The last three lines in the table summarize the energy savings, demand impacts and revenue requirements for DWR's demand side management, conservation and load management (DSM, C &amp; LM) responsibilities. The monthly energy savings are estimated to be 498 GWh. The monthly demand savings are 2091 MW. Total DSM, CL &amp; M revenue requirements are estimated to be $452 million for 2001 and $411 million for 2002. For the period June 2001 through June 2002, the DWR DSM, C &amp; LM revenue requirement is estimated to be $555 million.</w:t>
      </w:r>
    </w:p>
    <w:p>
      <w:pPr>
        <w:pStyle w:val="Normal"/>
        <w:rPr>
          <w:rFonts w:ascii="Palatino" w:hAnsi="Palatino" w:cs="Palatino"/>
          <w:sz w:val="22"/>
        </w:rPr>
      </w:pPr>
      <w:r>
        <w:rPr>
          <w:rFonts w:cs="Palatino" w:ascii="Palatino" w:hAnsi="Palatino"/>
          <w:sz w:val="22"/>
        </w:rPr>
      </w:r>
    </w:p>
    <w:p>
      <w:pPr>
        <w:pStyle w:val="Normal"/>
        <w:rPr/>
      </w:pPr>
      <w:r>
        <w:rPr/>
      </w:r>
    </w:p>
    <w:p>
      <w:pPr>
        <w:pStyle w:val="Normal"/>
        <w:rPr/>
      </w:pPr>
      <w:r>
        <w:rPr/>
      </w:r>
    </w:p>
    <w:p>
      <w:pPr>
        <w:pStyle w:val="Normal"/>
        <w:rPr/>
      </w:pPr>
      <w:r>
        <w:rPr/>
      </w:r>
    </w:p>
    <w:p>
      <w:pPr>
        <w:sectPr>
          <w:headerReference w:type="default" r:id="rId12"/>
          <w:footerReference w:type="default" r:id="rId13"/>
          <w:footerReference w:type="first" r:id="rId14"/>
          <w:type w:val="nextPage"/>
          <w:pgSz w:w="12240" w:h="15840"/>
          <w:pgMar w:left="1584" w:right="1584" w:gutter="0" w:header="720" w:top="1440" w:footer="720" w:bottom="1152"/>
          <w:pgNumType w:start="1" w:fmt="decimal"/>
          <w:formProt w:val="false"/>
          <w:textDirection w:val="lrTb"/>
          <w:docGrid w:type="default" w:linePitch="360" w:charSpace="0"/>
        </w:sectPr>
        <w:pStyle w:val="Normal"/>
        <w:rPr>
          <w:rFonts w:ascii="Palatino" w:hAnsi="Palatino" w:cs="Palatino"/>
          <w:sz w:val="22"/>
        </w:rPr>
      </w:pPr>
      <w:r>
        <w:rPr>
          <w:rFonts w:cs="Palatino" w:ascii="Palatino" w:hAnsi="Palatino"/>
          <w:sz w:val="22"/>
        </w:rPr>
        <w:drawing>
          <wp:anchor behindDoc="0" distT="0" distB="0" distL="114935" distR="114935" simplePos="0" locked="0" layoutInCell="0" allowOverlap="1" relativeHeight="14">
            <wp:simplePos x="0" y="0"/>
            <wp:positionH relativeFrom="column">
              <wp:posOffset>0</wp:posOffset>
            </wp:positionH>
            <wp:positionV relativeFrom="paragraph">
              <wp:posOffset>635</wp:posOffset>
            </wp:positionV>
            <wp:extent cx="5483860" cy="7701280"/>
            <wp:effectExtent l="0" t="0" r="0" b="0"/>
            <wp:wrapTopAndBottom/>
            <wp:docPr id="10"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title=""/>
                    <pic:cNvPicPr>
                      <a:picLocks noChangeAspect="1" noChangeArrowheads="1"/>
                    </pic:cNvPicPr>
                  </pic:nvPicPr>
                  <pic:blipFill>
                    <a:blip r:embed="rId11"/>
                    <a:srcRect l="-5" t="-3" r="-5" b="-3"/>
                    <a:stretch>
                      <a:fillRect/>
                    </a:stretch>
                  </pic:blipFill>
                  <pic:spPr bwMode="auto">
                    <a:xfrm>
                      <a:off x="0" y="0"/>
                      <a:ext cx="5483860" cy="7701280"/>
                    </a:xfrm>
                    <a:prstGeom prst="rect">
                      <a:avLst/>
                    </a:prstGeom>
                    <a:noFill/>
                  </pic:spPr>
                </pic:pic>
              </a:graphicData>
            </a:graphic>
          </wp:anchor>
        </w:drawing>
      </w:r>
    </w:p>
    <w:p>
      <w:pPr>
        <w:pStyle w:val="Heading1"/>
        <w:ind w:hanging="0" w:start="0"/>
        <w:jc w:val="center"/>
        <w:rPr/>
      </w:pPr>
      <w:r>
        <w:rPr/>
        <w:t>EXHIBIT C</w:t>
      </w:r>
    </w:p>
    <w:p>
      <w:pPr>
        <w:pStyle w:val="Heading1"/>
        <w:ind w:hanging="0" w:start="0"/>
        <w:jc w:val="center"/>
        <w:rPr/>
      </w:pPr>
      <w:r>
        <w:rPr/>
        <w:t>BREAKDOWN OF DWR REVENUE REQUIREMENTS</w:t>
      </w:r>
    </w:p>
    <w:p>
      <w:pPr>
        <w:pStyle w:val="Heading1"/>
        <w:ind w:hanging="0" w:start="0"/>
        <w:jc w:val="center"/>
        <w:rPr/>
      </w:pPr>
      <w:r>
        <w:rPr/>
        <w:t>IN ACCORDANCE WITH THE PROPOSED RATE AGREEMENT</w:t>
      </w:r>
    </w:p>
    <w:p>
      <w:pPr>
        <w:pStyle w:val="Heading1"/>
        <w:ind w:hanging="0" w:start="0"/>
        <w:jc w:val="center"/>
        <w:rPr/>
      </w:pPr>
      <w:r>
        <w:rPr/>
        <w:t>COST CATAGORIES</w:t>
      </w:r>
    </w:p>
    <w:p>
      <w:pPr>
        <w:pStyle w:val="BodyText"/>
        <w:rPr>
          <w:rFonts w:ascii="Palatino" w:hAnsi="Palatino" w:cs="Palatino"/>
          <w:b w:val="false"/>
          <w:sz w:val="22"/>
        </w:rPr>
      </w:pPr>
      <w:r>
        <w:rPr>
          <w:rFonts w:cs="Palatino" w:ascii="Palatino" w:hAnsi="Palatino"/>
          <w:b w:val="false"/>
          <w:sz w:val="22"/>
        </w:rPr>
      </w:r>
    </w:p>
    <w:p>
      <w:pPr>
        <w:pStyle w:val="BodyText"/>
        <w:rPr>
          <w:rFonts w:ascii="Palatino" w:hAnsi="Palatino" w:cs="Palatino"/>
          <w:b w:val="false"/>
          <w:sz w:val="22"/>
        </w:rPr>
      </w:pPr>
      <w:r>
        <w:rPr>
          <w:rFonts w:cs="Palatino" w:ascii="Palatino" w:hAnsi="Palatino"/>
          <w:b w:val="false"/>
          <w:sz w:val="22"/>
        </w:rPr>
        <w:t>This exhibit describes the component costs of the Department’s revenue requirements consistent with the categories set forth in the proposed Rate Agreement between the Department and the Commission. The descriptions below make reference to the tables in Exhibits A and B as appropriate, rather than repeating those tables and data in this Exhibit C.</w:t>
      </w:r>
    </w:p>
    <w:p>
      <w:pPr>
        <w:pStyle w:val="Normal"/>
        <w:jc w:val="end"/>
        <w:rPr>
          <w:rFonts w:ascii="Palatino" w:hAnsi="Palatino" w:cs="Palatino"/>
          <w:b/>
          <w:color w:val="000000"/>
          <w:sz w:val="22"/>
        </w:rPr>
      </w:pPr>
      <w:r>
        <w:rPr>
          <w:rFonts w:cs="Palatino" w:ascii="Palatino" w:hAnsi="Palatino"/>
          <w:b/>
          <w:color w:val="000000"/>
          <w:sz w:val="22"/>
        </w:rPr>
      </w:r>
    </w:p>
    <w:p>
      <w:pPr>
        <w:pStyle w:val="Normal"/>
        <w:tabs>
          <w:tab w:val="clear" w:pos="720"/>
          <w:tab w:val="left" w:pos="360" w:leader="none"/>
        </w:tabs>
        <w:rPr>
          <w:rFonts w:ascii="Palatino" w:hAnsi="Palatino" w:cs="Palatino"/>
          <w:color w:val="000000"/>
          <w:sz w:val="22"/>
        </w:rPr>
      </w:pPr>
      <w:r>
        <w:rPr>
          <w:rFonts w:cs="Palatino" w:ascii="Palatino" w:hAnsi="Palatino"/>
          <w:color w:val="000000"/>
          <w:sz w:val="22"/>
        </w:rPr>
        <w:t>1</w:t>
      </w:r>
      <w:r>
        <w:rPr>
          <w:rFonts w:cs="Palatino" w:ascii="Palatino" w:hAnsi="Palatino"/>
          <w:b/>
          <w:color w:val="000000"/>
          <w:sz w:val="22"/>
        </w:rPr>
        <w:t>.</w:t>
        <w:tab/>
        <w:t>Cost for the purchase and delivery of power, including:</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2"/>
        </w:numPr>
        <w:rPr>
          <w:rFonts w:ascii="Palatino" w:hAnsi="Palatino" w:cs="Palatino"/>
          <w:b/>
          <w:color w:val="000000"/>
          <w:sz w:val="22"/>
        </w:rPr>
      </w:pPr>
      <w:r>
        <w:rPr>
          <w:rFonts w:cs="Palatino" w:ascii="Palatino" w:hAnsi="Palatino"/>
          <w:b/>
          <w:color w:val="000000"/>
          <w:sz w:val="22"/>
        </w:rPr>
        <w:t>long-term purchases</w:t>
      </w:r>
    </w:p>
    <w:p>
      <w:pPr>
        <w:pStyle w:val="BodyTextIndent"/>
        <w:rPr>
          <w:rFonts w:ascii="Palatino" w:hAnsi="Palatino" w:cs="Palatino"/>
          <w:b/>
          <w:color w:val="FF0000"/>
          <w:sz w:val="22"/>
        </w:rPr>
      </w:pPr>
      <w:r>
        <w:rPr>
          <w:rFonts w:cs="Palatino" w:ascii="Palatino" w:hAnsi="Palatino"/>
          <w:sz w:val="22"/>
        </w:rPr>
        <w:t>long-term purchases are considered those which are more than a quarter in duration.  These costs are included in Column D “Contract Power” as shown in Tables A-3 through A-6 in Exhibit A.  The contracts which have been executed, or agreements in principle which were still under active negotiation as of June 15, 2001 are included in this column.</w:t>
      </w:r>
    </w:p>
    <w:p>
      <w:pPr>
        <w:pStyle w:val="Normal"/>
        <w:ind w:start="480" w:end="0"/>
        <w:rPr>
          <w:rFonts w:ascii="Palatino" w:hAnsi="Palatino" w:cs="Palatino"/>
          <w:b/>
          <w:color w:val="000000"/>
          <w:sz w:val="22"/>
        </w:rPr>
      </w:pPr>
      <w:r>
        <w:rPr>
          <w:rFonts w:cs="Palatino" w:ascii="Palatino" w:hAnsi="Palatino"/>
          <w:b/>
          <w:color w:val="000000"/>
          <w:sz w:val="22"/>
        </w:rPr>
      </w:r>
    </w:p>
    <w:p>
      <w:pPr>
        <w:pStyle w:val="Normal"/>
        <w:numPr>
          <w:ilvl w:val="0"/>
          <w:numId w:val="2"/>
        </w:numPr>
        <w:rPr>
          <w:rFonts w:ascii="Palatino" w:hAnsi="Palatino" w:cs="Palatino"/>
          <w:b/>
          <w:color w:val="000000"/>
          <w:sz w:val="22"/>
        </w:rPr>
      </w:pPr>
      <w:r>
        <w:rPr>
          <w:rFonts w:cs="Palatino" w:ascii="Palatino" w:hAnsi="Palatino"/>
          <w:b/>
          <w:color w:val="000000"/>
          <w:sz w:val="22"/>
        </w:rPr>
        <w:t>short-term purchases</w:t>
      </w:r>
    </w:p>
    <w:p>
      <w:pPr>
        <w:pStyle w:val="BodyTextIndent"/>
        <w:rPr>
          <w:rFonts w:ascii="Palatino" w:hAnsi="Palatino" w:cs="Palatino"/>
          <w:sz w:val="22"/>
        </w:rPr>
      </w:pPr>
      <w:r>
        <w:rPr>
          <w:rFonts w:cs="Palatino" w:ascii="Palatino" w:hAnsi="Palatino"/>
          <w:sz w:val="22"/>
        </w:rPr>
        <w:t>short-term purchases consist of two categories: (1) bilateral contracts with a duration of a quarter or less, but longer than day-ahead purchases, which are included through the third quarter of 2001 in Column D, “Contract Power”, for known contracts as of June 15, 2001, and (2) day ahead, hour ahead, real time, or future, yet to be completed bilateral contracts not known as of June 15, 2001.</w:t>
      </w:r>
    </w:p>
    <w:p>
      <w:pPr>
        <w:pStyle w:val="BodyTextIndent"/>
        <w:rPr>
          <w:rFonts w:ascii="Palatino" w:hAnsi="Palatino" w:cs="Palatino"/>
          <w:sz w:val="22"/>
        </w:rPr>
      </w:pPr>
      <w:r>
        <w:rPr>
          <w:rFonts w:cs="Palatino" w:ascii="Palatino" w:hAnsi="Palatino"/>
          <w:sz w:val="22"/>
        </w:rPr>
      </w:r>
    </w:p>
    <w:p>
      <w:pPr>
        <w:pStyle w:val="BodyTextIndent"/>
        <w:numPr>
          <w:ilvl w:val="0"/>
          <w:numId w:val="2"/>
        </w:numPr>
        <w:rPr>
          <w:rFonts w:ascii="Palatino" w:hAnsi="Palatino" w:cs="Palatino"/>
          <w:b/>
          <w:sz w:val="22"/>
        </w:rPr>
      </w:pPr>
      <w:r>
        <w:rPr>
          <w:rFonts w:cs="Palatino" w:ascii="Palatino" w:hAnsi="Palatino"/>
          <w:b/>
          <w:sz w:val="22"/>
        </w:rPr>
        <w:t>termination &amp; liquidated damages</w:t>
      </w:r>
    </w:p>
    <w:p>
      <w:pPr>
        <w:pStyle w:val="BodyTextIndent"/>
        <w:rPr>
          <w:rFonts w:ascii="Palatino" w:hAnsi="Palatino" w:cs="Palatino"/>
          <w:sz w:val="22"/>
        </w:rPr>
      </w:pPr>
      <w:r>
        <w:rPr>
          <w:rFonts w:cs="Palatino" w:ascii="Palatino" w:hAnsi="Palatino"/>
          <w:sz w:val="22"/>
        </w:rPr>
        <w:t>termination charges are those applicable to the Department for terminating contracts prior to the end of the term of the agreement for various reasons, for which the contract provides for charges to be paid by the Department to the Seller, or for similar charges due from the Seller to the Department for Seller’s early termination for certain purposes.  Liquidated damages (payments of moneys due to actions taken by the Department or the Seller in accordance with certain contract provisions rather than providing for costs to be determined by a court of law or arbitration).  No termination charges or liquidated damage costs are specifically assumed in the Department’s Revenue Requirement (no costs to the Department, nor any payments to the Department by any Seller for such theoretical charges).</w:t>
      </w:r>
    </w:p>
    <w:p>
      <w:pPr>
        <w:pStyle w:val="BodyTextIndent"/>
        <w:rPr>
          <w:rFonts w:ascii="Palatino" w:hAnsi="Palatino" w:cs="Palatino"/>
          <w:sz w:val="22"/>
        </w:rPr>
      </w:pPr>
      <w:r>
        <w:rPr>
          <w:rFonts w:cs="Palatino" w:ascii="Palatino" w:hAnsi="Palatino"/>
          <w:sz w:val="22"/>
        </w:rPr>
      </w:r>
    </w:p>
    <w:p>
      <w:pPr>
        <w:pStyle w:val="Normal"/>
        <w:numPr>
          <w:ilvl w:val="0"/>
          <w:numId w:val="2"/>
        </w:numPr>
        <w:rPr>
          <w:rFonts w:ascii="Palatino" w:hAnsi="Palatino" w:cs="Palatino"/>
          <w:b/>
          <w:color w:val="000000"/>
          <w:sz w:val="22"/>
        </w:rPr>
      </w:pPr>
      <w:r>
        <w:rPr>
          <w:rFonts w:cs="Palatino" w:ascii="Palatino" w:hAnsi="Palatino"/>
          <w:b/>
          <w:color w:val="000000"/>
          <w:sz w:val="22"/>
        </w:rPr>
        <w:t>emission costs</w:t>
      </w:r>
    </w:p>
    <w:p>
      <w:pPr>
        <w:pStyle w:val="BodyTextIndent"/>
        <w:rPr>
          <w:rFonts w:ascii="Palatino" w:hAnsi="Palatino" w:cs="Palatino"/>
          <w:sz w:val="22"/>
        </w:rPr>
      </w:pPr>
      <w:r>
        <w:rPr>
          <w:rFonts w:cs="Palatino" w:ascii="Palatino" w:hAnsi="Palatino"/>
          <w:sz w:val="22"/>
        </w:rPr>
        <w:t>allowances for emission costs are included in the generation dispatch model and are included in the estimated cost of power.  These costs are not readily separable in the model due to the manner in which the model program computes the costs.</w:t>
      </w:r>
    </w:p>
    <w:p>
      <w:pPr>
        <w:pStyle w:val="Normal"/>
        <w:ind w:start="120" w:end="0"/>
        <w:rPr>
          <w:rFonts w:ascii="Palatino" w:hAnsi="Palatino" w:cs="Palatino"/>
          <w:b/>
          <w:color w:val="000000"/>
          <w:sz w:val="22"/>
        </w:rPr>
      </w:pPr>
      <w:r>
        <w:rPr>
          <w:rFonts w:cs="Palatino" w:ascii="Palatino" w:hAnsi="Palatino"/>
          <w:b/>
          <w:color w:val="000000"/>
          <w:sz w:val="22"/>
        </w:rPr>
      </w:r>
    </w:p>
    <w:p>
      <w:pPr>
        <w:pStyle w:val="Normal"/>
        <w:numPr>
          <w:ilvl w:val="0"/>
          <w:numId w:val="2"/>
        </w:numPr>
        <w:rPr>
          <w:rFonts w:ascii="Palatino" w:hAnsi="Palatino" w:cs="Palatino"/>
          <w:b/>
          <w:color w:val="000000"/>
          <w:sz w:val="22"/>
        </w:rPr>
      </w:pPr>
      <w:r>
        <w:rPr>
          <w:rFonts w:cs="Palatino" w:ascii="Palatino" w:hAnsi="Palatino"/>
          <w:b/>
          <w:color w:val="000000"/>
          <w:sz w:val="22"/>
        </w:rPr>
        <w:t>hour-ahead power</w:t>
      </w:r>
    </w:p>
    <w:p>
      <w:pPr>
        <w:pStyle w:val="BodyTextIndent"/>
        <w:rPr>
          <w:rFonts w:ascii="Palatino" w:hAnsi="Palatino" w:cs="Palatino"/>
          <w:sz w:val="22"/>
        </w:rPr>
      </w:pPr>
      <w:r>
        <w:rPr>
          <w:rFonts w:cs="Palatino" w:ascii="Palatino" w:hAnsi="Palatino"/>
          <w:sz w:val="22"/>
        </w:rPr>
        <w:t>hour-ahead purchases, whether by the Department or the ISO, are included in Column E of Tables A-3 through A-6 in Exhibit A as part of “Residual Net Short” purchases.  Residual Net Short purchases are all net short energy purchases other than Ancillary Services which are required after the bilateral contract power.</w:t>
      </w:r>
    </w:p>
    <w:p>
      <w:pPr>
        <w:pStyle w:val="BodyTextIndent"/>
        <w:rPr>
          <w:rFonts w:ascii="Palatino" w:hAnsi="Palatino" w:cs="Palatino"/>
          <w:sz w:val="22"/>
        </w:rPr>
      </w:pPr>
      <w:r>
        <w:rPr>
          <w:rFonts w:cs="Palatino" w:ascii="Palatino" w:hAnsi="Palatino"/>
          <w:sz w:val="22"/>
        </w:rPr>
      </w:r>
    </w:p>
    <w:p>
      <w:pPr>
        <w:pStyle w:val="Normal"/>
        <w:numPr>
          <w:ilvl w:val="0"/>
          <w:numId w:val="2"/>
        </w:numPr>
        <w:rPr>
          <w:rFonts w:ascii="Palatino" w:hAnsi="Palatino" w:cs="Palatino"/>
          <w:b/>
          <w:color w:val="000000"/>
          <w:sz w:val="22"/>
        </w:rPr>
      </w:pPr>
      <w:r>
        <w:rPr>
          <w:rFonts w:cs="Palatino" w:ascii="Palatino" w:hAnsi="Palatino"/>
          <w:b/>
          <w:color w:val="000000"/>
          <w:sz w:val="22"/>
        </w:rPr>
        <w:t>real time power</w:t>
      </w:r>
    </w:p>
    <w:p>
      <w:pPr>
        <w:pStyle w:val="BodyTextIndent"/>
        <w:rPr>
          <w:rFonts w:ascii="Palatino" w:hAnsi="Palatino" w:cs="Palatino"/>
          <w:sz w:val="22"/>
        </w:rPr>
      </w:pPr>
      <w:r>
        <w:rPr>
          <w:rFonts w:cs="Palatino" w:ascii="Palatino" w:hAnsi="Palatino"/>
          <w:sz w:val="22"/>
        </w:rPr>
        <w:t xml:space="preserve">real time power purchases by the ISO are also included in “Residual Net Short” purchases in Column E in the tables A-3 through A-6 in Exhibit A.  </w:t>
      </w:r>
    </w:p>
    <w:p>
      <w:pPr>
        <w:pStyle w:val="BodyTextIndent"/>
        <w:rPr>
          <w:rFonts w:ascii="Palatino" w:hAnsi="Palatino" w:cs="Palatino"/>
          <w:sz w:val="22"/>
        </w:rPr>
      </w:pPr>
      <w:r>
        <w:rPr>
          <w:rFonts w:cs="Palatino" w:ascii="Palatino" w:hAnsi="Palatino"/>
          <w:sz w:val="22"/>
        </w:rPr>
      </w:r>
    </w:p>
    <w:p>
      <w:pPr>
        <w:pStyle w:val="Normal"/>
        <w:numPr>
          <w:ilvl w:val="0"/>
          <w:numId w:val="2"/>
        </w:numPr>
        <w:rPr>
          <w:rFonts w:ascii="Palatino" w:hAnsi="Palatino" w:cs="Palatino"/>
          <w:b/>
          <w:color w:val="000000"/>
          <w:sz w:val="22"/>
        </w:rPr>
      </w:pPr>
      <w:r>
        <w:rPr>
          <w:rFonts w:cs="Palatino" w:ascii="Palatino" w:hAnsi="Palatino"/>
          <w:b/>
          <w:color w:val="000000"/>
          <w:sz w:val="22"/>
        </w:rPr>
        <w:t>transmission, distribution, scheduling</w:t>
      </w:r>
    </w:p>
    <w:p>
      <w:pPr>
        <w:pStyle w:val="BodyTextIndent"/>
        <w:rPr>
          <w:rFonts w:ascii="Palatino" w:hAnsi="Palatino" w:cs="Palatino"/>
          <w:sz w:val="22"/>
        </w:rPr>
      </w:pPr>
      <w:r>
        <w:rPr>
          <w:rFonts w:cs="Palatino" w:ascii="Palatino" w:hAnsi="Palatino"/>
          <w:sz w:val="22"/>
        </w:rPr>
        <w:t>allowance for distribution and transmission line losses is included in the calculation of the quantity of net short energy required to be purchased to meet the retail customer loads of the IOUs.  There are not separate charges estimated in the net short energy costs.  As noted in Exhibit A, sellers are responsible for their own scheduling coordination costs and the IOUs are responsible for their costs of scheduling the load.  Any of the Department’s costs for coordination and scheduling are captured in the labor and related costs included “Administrative &amp; General or “A&amp;G” charges shown in Column B of the tables in Exhibit A-3 through A-6.</w:t>
      </w:r>
    </w:p>
    <w:p>
      <w:pPr>
        <w:pStyle w:val="BodyTextIndent"/>
        <w:rPr>
          <w:rFonts w:ascii="Palatino" w:hAnsi="Palatino" w:cs="Palatino"/>
          <w:sz w:val="22"/>
        </w:rPr>
      </w:pPr>
      <w:r>
        <w:rPr>
          <w:rFonts w:cs="Palatino" w:ascii="Palatino" w:hAnsi="Palatino"/>
          <w:sz w:val="22"/>
        </w:rPr>
      </w:r>
    </w:p>
    <w:p>
      <w:pPr>
        <w:pStyle w:val="Normal"/>
        <w:numPr>
          <w:ilvl w:val="0"/>
          <w:numId w:val="2"/>
        </w:numPr>
        <w:rPr>
          <w:rFonts w:ascii="Palatino" w:hAnsi="Palatino" w:cs="Palatino"/>
          <w:b/>
          <w:color w:val="000000"/>
          <w:sz w:val="22"/>
        </w:rPr>
      </w:pPr>
      <w:r>
        <w:rPr>
          <w:rFonts w:cs="Palatino" w:ascii="Palatino" w:hAnsi="Palatino"/>
          <w:b/>
          <w:color w:val="000000"/>
          <w:sz w:val="22"/>
        </w:rPr>
        <w:t>ancillary services</w:t>
      </w:r>
    </w:p>
    <w:p>
      <w:pPr>
        <w:pStyle w:val="BodyTextIndent"/>
        <w:rPr>
          <w:rFonts w:ascii="Palatino" w:hAnsi="Palatino" w:cs="Palatino"/>
          <w:sz w:val="22"/>
        </w:rPr>
      </w:pPr>
      <w:r>
        <w:rPr>
          <w:rFonts w:cs="Palatino" w:ascii="Palatino" w:hAnsi="Palatino"/>
          <w:sz w:val="22"/>
        </w:rPr>
        <w:t>See discussion of Ancillary Services in Exhibit A.</w:t>
      </w:r>
    </w:p>
    <w:p>
      <w:pPr>
        <w:pStyle w:val="Normal"/>
        <w:rPr>
          <w:rFonts w:ascii="Palatino" w:hAnsi="Palatino" w:cs="Palatino"/>
          <w:b/>
          <w:color w:val="000000"/>
          <w:sz w:val="22"/>
        </w:rPr>
      </w:pPr>
      <w:r>
        <w:rPr>
          <w:rFonts w:eastAsia="Palatino" w:cs="Palatino" w:ascii="Palatino" w:hAnsi="Palatino"/>
          <w:color w:val="000000"/>
          <w:sz w:val="22"/>
        </w:rPr>
        <w:t xml:space="preserve">  </w:t>
      </w:r>
    </w:p>
    <w:p>
      <w:pPr>
        <w:pStyle w:val="Normal"/>
        <w:numPr>
          <w:ilvl w:val="0"/>
          <w:numId w:val="6"/>
        </w:numPr>
        <w:rPr>
          <w:rFonts w:ascii="Palatino" w:hAnsi="Palatino" w:cs="Palatino"/>
          <w:b/>
          <w:color w:val="000000"/>
          <w:sz w:val="22"/>
        </w:rPr>
      </w:pPr>
      <w:r>
        <w:rPr>
          <w:rFonts w:cs="Palatino" w:ascii="Palatino" w:hAnsi="Palatino"/>
          <w:b/>
          <w:color w:val="000000"/>
          <w:sz w:val="22"/>
        </w:rPr>
        <w:t>Costs for fuel, including storage &amp; transportation, options, and financial instruments.</w:t>
      </w:r>
    </w:p>
    <w:p>
      <w:pPr>
        <w:pStyle w:val="Normal"/>
        <w:ind w:start="360" w:end="0"/>
        <w:rPr>
          <w:rFonts w:ascii="Palatino" w:hAnsi="Palatino" w:cs="Palatino"/>
          <w:b/>
          <w:color w:val="000000"/>
          <w:sz w:val="22"/>
        </w:rPr>
      </w:pPr>
      <w:r>
        <w:rPr>
          <w:rFonts w:cs="Palatino" w:ascii="Palatino" w:hAnsi="Palatino"/>
          <w:b/>
          <w:color w:val="000000"/>
          <w:sz w:val="22"/>
        </w:rPr>
      </w:r>
    </w:p>
    <w:p>
      <w:pPr>
        <w:pStyle w:val="Normal"/>
        <w:ind w:start="360" w:end="0"/>
        <w:rPr/>
      </w:pPr>
      <w:r>
        <w:rPr>
          <w:rFonts w:cs="Palatino" w:ascii="Palatino" w:hAnsi="Palatino"/>
          <w:color w:val="000000"/>
          <w:sz w:val="22"/>
        </w:rPr>
        <w:t xml:space="preserve">The cost of fuel for the contracted power is included in Column D in the tables in Exhibit A.  The cost of fuel is also included in the short-term purchases included in the “Residual Net Short” in Column E in the tables in Exhibit A-3 though A-6.  </w:t>
      </w:r>
      <w:r>
        <w:rPr>
          <w:rFonts w:cs="Palatino" w:ascii="Palatino" w:hAnsi="Palatino"/>
          <w:sz w:val="22"/>
        </w:rPr>
        <w:t>Table A-7 shows the cost of natural gas assumed in the cost of power for long-term contracts and for short-term spot purchase market clearing price assumptions.</w:t>
      </w:r>
    </w:p>
    <w:p>
      <w:pPr>
        <w:pStyle w:val="Normal"/>
        <w:ind w:start="360" w:end="0"/>
        <w:rPr>
          <w:rFonts w:ascii="Palatino" w:hAnsi="Palatino" w:cs="Palatino"/>
          <w:b/>
          <w:color w:val="FF0000"/>
          <w:sz w:val="22"/>
        </w:rPr>
      </w:pPr>
      <w:r>
        <w:rPr>
          <w:rFonts w:cs="Palatino" w:ascii="Palatino" w:hAnsi="Palatino"/>
          <w:b/>
          <w:color w:val="FF0000"/>
          <w:sz w:val="22"/>
        </w:rPr>
      </w:r>
    </w:p>
    <w:p>
      <w:pPr>
        <w:pStyle w:val="BodyTextIndent3"/>
        <w:ind w:hanging="0" w:start="360" w:end="0"/>
        <w:rPr>
          <w:rFonts w:ascii="Palatino" w:hAnsi="Palatino" w:cs="Palatino"/>
          <w:sz w:val="22"/>
        </w:rPr>
      </w:pPr>
      <w:r>
        <w:rPr>
          <w:rFonts w:cs="Palatino" w:ascii="Palatino" w:hAnsi="Palatino"/>
          <w:sz w:val="22"/>
        </w:rPr>
        <w:t>Fuel transportation charges are estimated in the generation dispatch model based upon regional location of generating sources and are included in the cost of power shown in Columns D and E in the tables in Exhibit A.  Although the Department may have rights to implement option and financial hedging programs and instruments, no such actions or associated costs are specifically assumed in the fuel costs herein.  All fuel costs included in the contracts and the spot market purchases are assumed to be equal to the average spot market price of natural gas.</w:t>
      </w:r>
    </w:p>
    <w:p>
      <w:pPr>
        <w:pStyle w:val="Normal"/>
        <w:jc w:val="end"/>
        <w:rPr>
          <w:rFonts w:ascii="Palatino" w:hAnsi="Palatino" w:cs="Palatino"/>
          <w:color w:val="000000"/>
          <w:sz w:val="22"/>
        </w:rPr>
      </w:pPr>
      <w:r>
        <w:rPr>
          <w:rFonts w:cs="Palatino" w:ascii="Palatino" w:hAnsi="Palatino"/>
          <w:color w:val="000000"/>
          <w:sz w:val="22"/>
        </w:rPr>
      </w:r>
    </w:p>
    <w:p>
      <w:pPr>
        <w:pStyle w:val="Normal"/>
        <w:rPr/>
      </w:pPr>
      <w:r>
        <w:rPr>
          <w:rFonts w:cs="Palatino" w:ascii="Palatino" w:hAnsi="Palatino"/>
          <w:b/>
          <w:color w:val="000000"/>
          <w:sz w:val="22"/>
        </w:rPr>
        <w:t>3.</w:t>
      </w:r>
      <w:r>
        <w:rPr>
          <w:rFonts w:cs="Palatino" w:ascii="Palatino" w:hAnsi="Palatino"/>
          <w:color w:val="000000"/>
          <w:sz w:val="22"/>
        </w:rPr>
        <w:t xml:space="preserve">  </w:t>
      </w:r>
      <w:r>
        <w:rPr>
          <w:rFonts w:cs="Palatino" w:ascii="Palatino" w:hAnsi="Palatino"/>
          <w:b/>
          <w:color w:val="000000"/>
          <w:sz w:val="22"/>
        </w:rPr>
        <w:t>Costs to avoid or minimize the amount of power to be acquired including:</w:t>
      </w:r>
    </w:p>
    <w:p>
      <w:pPr>
        <w:pStyle w:val="Normal"/>
        <w:ind w:start="120" w:end="0"/>
        <w:rPr>
          <w:rFonts w:ascii="Palatino" w:hAnsi="Palatino" w:cs="Palatino"/>
          <w:b/>
          <w:color w:val="000000"/>
          <w:sz w:val="22"/>
        </w:rPr>
      </w:pPr>
      <w:r>
        <w:rPr>
          <w:rFonts w:cs="Palatino" w:ascii="Palatino" w:hAnsi="Palatino"/>
          <w:b/>
          <w:color w:val="000000"/>
          <w:sz w:val="22"/>
        </w:rPr>
      </w:r>
    </w:p>
    <w:p>
      <w:pPr>
        <w:pStyle w:val="Normal"/>
        <w:numPr>
          <w:ilvl w:val="0"/>
          <w:numId w:val="2"/>
        </w:numPr>
        <w:rPr>
          <w:rFonts w:ascii="Palatino" w:hAnsi="Palatino" w:cs="Palatino"/>
          <w:b/>
          <w:color w:val="000000"/>
          <w:sz w:val="22"/>
        </w:rPr>
      </w:pPr>
      <w:r>
        <w:rPr>
          <w:rFonts w:cs="Palatino" w:ascii="Palatino" w:hAnsi="Palatino"/>
          <w:b/>
          <w:color w:val="000000"/>
          <w:sz w:val="22"/>
        </w:rPr>
        <w:t>conservation programs</w:t>
      </w:r>
    </w:p>
    <w:p>
      <w:pPr>
        <w:pStyle w:val="Normal"/>
        <w:numPr>
          <w:ilvl w:val="0"/>
          <w:numId w:val="2"/>
        </w:numPr>
        <w:rPr>
          <w:rFonts w:ascii="Palatino" w:hAnsi="Palatino" w:cs="Palatino"/>
          <w:b/>
          <w:color w:val="000000"/>
          <w:sz w:val="22"/>
        </w:rPr>
      </w:pPr>
      <w:r>
        <w:rPr>
          <w:rFonts w:cs="Palatino" w:ascii="Palatino" w:hAnsi="Palatino"/>
          <w:b/>
          <w:color w:val="000000"/>
          <w:sz w:val="22"/>
        </w:rPr>
        <w:t>load curtailment/interruptible programs</w:t>
      </w:r>
    </w:p>
    <w:p>
      <w:pPr>
        <w:pStyle w:val="Normal"/>
        <w:numPr>
          <w:ilvl w:val="0"/>
          <w:numId w:val="2"/>
        </w:numPr>
        <w:rPr>
          <w:rFonts w:ascii="Palatino" w:hAnsi="Palatino" w:cs="Palatino"/>
          <w:b/>
          <w:color w:val="000000"/>
          <w:sz w:val="22"/>
        </w:rPr>
      </w:pPr>
      <w:r>
        <w:rPr>
          <w:rFonts w:cs="Palatino" w:ascii="Palatino" w:hAnsi="Palatino"/>
          <w:b/>
          <w:color w:val="000000"/>
          <w:sz w:val="22"/>
        </w:rPr>
        <w:t>conservation rebates</w:t>
      </w:r>
    </w:p>
    <w:p>
      <w:pPr>
        <w:pStyle w:val="Normal"/>
        <w:numPr>
          <w:ilvl w:val="0"/>
          <w:numId w:val="2"/>
        </w:numPr>
        <w:rPr>
          <w:rFonts w:ascii="Palatino" w:hAnsi="Palatino" w:cs="Palatino"/>
          <w:color w:val="000000"/>
          <w:sz w:val="22"/>
        </w:rPr>
      </w:pPr>
      <w:r>
        <w:rPr>
          <w:rFonts w:cs="Palatino" w:ascii="Palatino" w:hAnsi="Palatino"/>
          <w:b/>
          <w:color w:val="000000"/>
          <w:sz w:val="22"/>
        </w:rPr>
        <w:t>load management programs</w:t>
      </w:r>
    </w:p>
    <w:p>
      <w:pPr>
        <w:pStyle w:val="Normal"/>
        <w:ind w:start="120" w:end="0"/>
        <w:rPr>
          <w:rFonts w:ascii="Palatino" w:hAnsi="Palatino" w:cs="Palatino"/>
          <w:color w:val="000000"/>
          <w:sz w:val="22"/>
        </w:rPr>
      </w:pPr>
      <w:r>
        <w:rPr>
          <w:rFonts w:cs="Palatino" w:ascii="Palatino" w:hAnsi="Palatino"/>
          <w:color w:val="000000"/>
          <w:sz w:val="22"/>
        </w:rPr>
      </w:r>
    </w:p>
    <w:p>
      <w:pPr>
        <w:pStyle w:val="BodyTextIndent"/>
        <w:rPr>
          <w:rFonts w:ascii="Palatino" w:hAnsi="Palatino" w:cs="Palatino"/>
          <w:sz w:val="22"/>
        </w:rPr>
      </w:pPr>
      <w:r>
        <w:rPr>
          <w:rFonts w:cs="Palatino" w:ascii="Palatino" w:hAnsi="Palatino"/>
          <w:sz w:val="22"/>
        </w:rPr>
        <w:t>See Exhibit B for the description of the programs, the amount of savings in MWh per month, and the associated costs for these programs and savings.  These costs are shown in the aggregate by month in Column C, “DSM” (demand side management) in the tables in Exhibit A.</w:t>
      </w:r>
    </w:p>
    <w:p>
      <w:pPr>
        <w:pStyle w:val="Normal"/>
        <w:rPr>
          <w:rFonts w:ascii="Palatino" w:hAnsi="Palatino" w:cs="Palatino"/>
          <w:color w:val="000000"/>
          <w:sz w:val="22"/>
        </w:rPr>
      </w:pPr>
      <w:r>
        <w:rPr>
          <w:rFonts w:cs="Palatino" w:ascii="Palatino" w:hAnsi="Palatino"/>
          <w:color w:val="000000"/>
          <w:sz w:val="22"/>
        </w:rPr>
      </w:r>
    </w:p>
    <w:p>
      <w:pPr>
        <w:pStyle w:val="Normal"/>
        <w:rPr>
          <w:rFonts w:ascii="Palatino" w:hAnsi="Palatino" w:cs="Palatino"/>
          <w:color w:val="000000"/>
          <w:sz w:val="22"/>
        </w:rPr>
      </w:pPr>
      <w:r>
        <w:rPr>
          <w:rFonts w:cs="Palatino" w:ascii="Palatino" w:hAnsi="Palatino"/>
          <w:color w:val="000000"/>
          <w:sz w:val="22"/>
        </w:rPr>
      </w:r>
    </w:p>
    <w:p>
      <w:pPr>
        <w:pStyle w:val="Normal"/>
        <w:rPr>
          <w:rFonts w:ascii="Palatino" w:hAnsi="Palatino" w:cs="Palatino"/>
          <w:color w:val="000000"/>
          <w:sz w:val="22"/>
        </w:rPr>
      </w:pPr>
      <w:r>
        <w:rPr>
          <w:rFonts w:cs="Palatino" w:ascii="Palatino" w:hAnsi="Palatino"/>
          <w:color w:val="000000"/>
          <w:sz w:val="22"/>
        </w:rPr>
      </w:r>
    </w:p>
    <w:p>
      <w:pPr>
        <w:pStyle w:val="Normal"/>
        <w:numPr>
          <w:ilvl w:val="0"/>
          <w:numId w:val="8"/>
        </w:numPr>
        <w:rPr>
          <w:rFonts w:ascii="Palatino" w:hAnsi="Palatino" w:cs="Palatino"/>
          <w:b/>
          <w:color w:val="000000"/>
          <w:sz w:val="22"/>
        </w:rPr>
      </w:pPr>
      <w:r>
        <w:rPr>
          <w:rFonts w:cs="Palatino" w:ascii="Palatino" w:hAnsi="Palatino"/>
          <w:b/>
          <w:color w:val="000000"/>
          <w:sz w:val="22"/>
        </w:rPr>
        <w:t>Payments under security agreements</w:t>
      </w:r>
    </w:p>
    <w:p>
      <w:pPr>
        <w:pStyle w:val="Normal"/>
        <w:rPr>
          <w:rFonts w:ascii="Palatino" w:hAnsi="Palatino" w:cs="Palatino"/>
          <w:b/>
          <w:color w:val="000000"/>
          <w:sz w:val="22"/>
        </w:rPr>
      </w:pPr>
      <w:r>
        <w:rPr>
          <w:rFonts w:cs="Palatino" w:ascii="Palatino" w:hAnsi="Palatino"/>
          <w:b/>
          <w:color w:val="000000"/>
          <w:sz w:val="22"/>
        </w:rPr>
      </w:r>
    </w:p>
    <w:p>
      <w:pPr>
        <w:pStyle w:val="BodyTextIndent2"/>
        <w:rPr/>
      </w:pPr>
      <w:r>
        <w:rPr/>
        <w:t>There are no specific security agreement payments assumed to be payable during the term of the Department’s Revenue Requirement as filed herein.</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8"/>
        </w:numPr>
        <w:rPr>
          <w:rFonts w:ascii="Palatino" w:hAnsi="Palatino" w:cs="Palatino"/>
          <w:b/>
          <w:color w:val="000000"/>
          <w:sz w:val="22"/>
        </w:rPr>
      </w:pPr>
      <w:r>
        <w:rPr>
          <w:rFonts w:cs="Palatino" w:ascii="Palatino" w:hAnsi="Palatino"/>
          <w:b/>
          <w:color w:val="000000"/>
          <w:sz w:val="22"/>
        </w:rPr>
        <w:t>Administrative, general &amp; overhead expenses</w:t>
      </w:r>
    </w:p>
    <w:p>
      <w:pPr>
        <w:pStyle w:val="BodyTextIndent2"/>
        <w:rPr>
          <w:rFonts w:ascii="Palatino" w:hAnsi="Palatino" w:cs="Palatino"/>
          <w:b/>
          <w:color w:val="000000"/>
          <w:sz w:val="22"/>
        </w:rPr>
      </w:pPr>
      <w:r>
        <w:rPr>
          <w:rFonts w:cs="Palatino"/>
          <w:b/>
          <w:color w:val="000000"/>
          <w:sz w:val="22"/>
        </w:rPr>
      </w:r>
    </w:p>
    <w:p>
      <w:pPr>
        <w:pStyle w:val="BodyTextIndent2"/>
        <w:rPr/>
      </w:pPr>
      <w:r>
        <w:rPr/>
        <w:t>The Department’s A&amp;G (administrative and overhead) expenses are as described in Exhibit A, and as summarized by month as Column B “A&amp;G” in the tables A-3 through A-6 in Exhibit A.</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8"/>
        </w:numPr>
        <w:rPr>
          <w:rFonts w:ascii="Palatino" w:hAnsi="Palatino" w:cs="Palatino"/>
          <w:b/>
          <w:color w:val="000000"/>
          <w:sz w:val="22"/>
        </w:rPr>
      </w:pPr>
      <w:r>
        <w:rPr>
          <w:rFonts w:cs="Palatino" w:ascii="Palatino" w:hAnsi="Palatino"/>
          <w:b/>
          <w:color w:val="000000"/>
          <w:sz w:val="22"/>
        </w:rPr>
        <w:t>Insurance premiums</w:t>
      </w:r>
    </w:p>
    <w:p>
      <w:pPr>
        <w:pStyle w:val="BodyTextIndent2"/>
        <w:rPr>
          <w:rFonts w:ascii="Palatino" w:hAnsi="Palatino" w:cs="Palatino"/>
          <w:b/>
          <w:color w:val="000000"/>
          <w:sz w:val="22"/>
        </w:rPr>
      </w:pPr>
      <w:r>
        <w:rPr>
          <w:rFonts w:cs="Palatino"/>
          <w:b/>
          <w:color w:val="000000"/>
          <w:sz w:val="22"/>
        </w:rPr>
      </w:r>
    </w:p>
    <w:p>
      <w:pPr>
        <w:pStyle w:val="BodyTextIndent2"/>
        <w:rPr/>
      </w:pPr>
      <w:r>
        <w:rPr/>
        <w:t>Insurance premiums are included in A&amp;G expenses described above.</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8"/>
        </w:numPr>
        <w:rPr>
          <w:rFonts w:ascii="Palatino" w:hAnsi="Palatino" w:cs="Palatino"/>
          <w:b/>
          <w:color w:val="000000"/>
          <w:sz w:val="22"/>
        </w:rPr>
      </w:pPr>
      <w:r>
        <w:rPr>
          <w:rFonts w:cs="Palatino" w:ascii="Palatino" w:hAnsi="Palatino"/>
          <w:b/>
          <w:color w:val="000000"/>
          <w:sz w:val="22"/>
        </w:rPr>
        <w:t>Payments for employee benefits</w:t>
      </w:r>
    </w:p>
    <w:p>
      <w:pPr>
        <w:pStyle w:val="BodyTextIndent2"/>
        <w:rPr>
          <w:rFonts w:ascii="Palatino" w:hAnsi="Palatino" w:cs="Palatino"/>
          <w:b/>
          <w:color w:val="000000"/>
          <w:sz w:val="22"/>
        </w:rPr>
      </w:pPr>
      <w:r>
        <w:rPr>
          <w:rFonts w:cs="Palatino"/>
          <w:b/>
          <w:color w:val="000000"/>
          <w:sz w:val="22"/>
        </w:rPr>
      </w:r>
    </w:p>
    <w:p>
      <w:pPr>
        <w:pStyle w:val="BodyTextIndent2"/>
        <w:rPr/>
      </w:pPr>
      <w:r>
        <w:rPr/>
        <w:t>These costs are included in A&amp;G expenses described above and included in Column B “A&amp;G” in the tables in Exhibit A.</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8"/>
        </w:numPr>
        <w:rPr>
          <w:rFonts w:ascii="Palatino" w:hAnsi="Palatino" w:cs="Palatino"/>
          <w:b/>
          <w:color w:val="000000"/>
          <w:sz w:val="22"/>
        </w:rPr>
      </w:pPr>
      <w:r>
        <w:rPr>
          <w:rFonts w:cs="Palatino" w:ascii="Palatino" w:hAnsi="Palatino"/>
          <w:b/>
          <w:color w:val="000000"/>
          <w:sz w:val="22"/>
        </w:rPr>
        <w:t>Legal &amp; engineering expenses</w:t>
      </w:r>
    </w:p>
    <w:p>
      <w:pPr>
        <w:pStyle w:val="BodyTextIndent2"/>
        <w:rPr>
          <w:rFonts w:ascii="Palatino" w:hAnsi="Palatino" w:cs="Palatino"/>
          <w:b/>
          <w:color w:val="000000"/>
          <w:sz w:val="22"/>
        </w:rPr>
      </w:pPr>
      <w:r>
        <w:rPr>
          <w:rFonts w:cs="Palatino"/>
          <w:b/>
          <w:color w:val="000000"/>
          <w:sz w:val="22"/>
        </w:rPr>
      </w:r>
    </w:p>
    <w:p>
      <w:pPr>
        <w:pStyle w:val="BodyTextIndent2"/>
        <w:rPr/>
      </w:pPr>
      <w:r>
        <w:rPr/>
        <w:t>These costs are included in A&amp;G expenses described above and included in Column B “A&amp;G” in the tables in Exhibit A.</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8"/>
        </w:numPr>
        <w:rPr>
          <w:rFonts w:ascii="Palatino" w:hAnsi="Palatino" w:cs="Palatino"/>
          <w:b/>
          <w:color w:val="000000"/>
          <w:sz w:val="22"/>
        </w:rPr>
      </w:pPr>
      <w:r>
        <w:rPr>
          <w:rFonts w:cs="Palatino" w:ascii="Palatino" w:hAnsi="Palatino"/>
          <w:b/>
          <w:color w:val="000000"/>
          <w:sz w:val="22"/>
        </w:rPr>
        <w:t>Consulting &amp; technical services</w:t>
      </w:r>
    </w:p>
    <w:p>
      <w:pPr>
        <w:pStyle w:val="BodyTextIndent2"/>
        <w:rPr>
          <w:rFonts w:ascii="Palatino" w:hAnsi="Palatino" w:cs="Palatino"/>
          <w:b/>
          <w:color w:val="000000"/>
          <w:sz w:val="22"/>
        </w:rPr>
      </w:pPr>
      <w:r>
        <w:rPr>
          <w:rFonts w:cs="Palatino"/>
          <w:b/>
          <w:color w:val="000000"/>
          <w:sz w:val="22"/>
        </w:rPr>
      </w:r>
    </w:p>
    <w:p>
      <w:pPr>
        <w:pStyle w:val="BodyTextIndent2"/>
        <w:rPr/>
      </w:pPr>
      <w:r>
        <w:rPr/>
        <w:t>These costs are included in A&amp;G expenses described above and included in Column B “A&amp;G” in the tables in Exhibit A.</w:t>
      </w:r>
    </w:p>
    <w:p>
      <w:pPr>
        <w:pStyle w:val="Normal"/>
        <w:ind w:start="360" w:end="0"/>
        <w:rPr>
          <w:rFonts w:ascii="Palatino" w:hAnsi="Palatino" w:cs="Palatino"/>
          <w:b/>
          <w:color w:val="000000"/>
          <w:sz w:val="22"/>
        </w:rPr>
      </w:pPr>
      <w:r>
        <w:rPr>
          <w:rFonts w:cs="Palatino" w:ascii="Palatino" w:hAnsi="Palatino"/>
          <w:b/>
          <w:color w:val="000000"/>
          <w:sz w:val="22"/>
        </w:rPr>
      </w:r>
    </w:p>
    <w:p>
      <w:pPr>
        <w:pStyle w:val="Normal"/>
        <w:numPr>
          <w:ilvl w:val="0"/>
          <w:numId w:val="8"/>
        </w:numPr>
        <w:rPr>
          <w:rFonts w:ascii="Palatino" w:hAnsi="Palatino" w:cs="Palatino"/>
          <w:b/>
          <w:color w:val="000000"/>
          <w:sz w:val="22"/>
        </w:rPr>
      </w:pPr>
      <w:r>
        <w:rPr>
          <w:rFonts w:cs="Palatino" w:ascii="Palatino" w:hAnsi="Palatino"/>
          <w:b/>
          <w:color w:val="000000"/>
          <w:sz w:val="22"/>
        </w:rPr>
        <w:t>Charges for licenses, orders or other governmental mandates</w:t>
      </w:r>
    </w:p>
    <w:p>
      <w:pPr>
        <w:pStyle w:val="BodyTextIndent2"/>
        <w:rPr>
          <w:rFonts w:ascii="Palatino" w:hAnsi="Palatino" w:cs="Palatino"/>
          <w:b/>
          <w:color w:val="000000"/>
          <w:sz w:val="22"/>
        </w:rPr>
      </w:pPr>
      <w:r>
        <w:rPr>
          <w:rFonts w:cs="Palatino"/>
          <w:b/>
          <w:color w:val="000000"/>
          <w:sz w:val="22"/>
        </w:rPr>
      </w:r>
    </w:p>
    <w:p>
      <w:pPr>
        <w:pStyle w:val="BodyTextIndent2"/>
        <w:rPr/>
      </w:pPr>
      <w:r>
        <w:rPr/>
        <w:t>There are no specific charges estimated or included in the Department’s Revenue Requirement as filed.</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8"/>
        </w:numPr>
        <w:rPr>
          <w:rFonts w:ascii="Palatino" w:hAnsi="Palatino" w:cs="Palatino"/>
          <w:b/>
          <w:color w:val="000000"/>
          <w:sz w:val="22"/>
        </w:rPr>
      </w:pPr>
      <w:r>
        <w:rPr>
          <w:rFonts w:cs="Palatino" w:ascii="Palatino" w:hAnsi="Palatino"/>
          <w:b/>
          <w:color w:val="000000"/>
          <w:sz w:val="22"/>
        </w:rPr>
        <w:t>Taxes, governmental charges, etc.</w:t>
      </w:r>
    </w:p>
    <w:p>
      <w:pPr>
        <w:pStyle w:val="BodyTextIndent2"/>
        <w:rPr>
          <w:rFonts w:ascii="Palatino" w:hAnsi="Palatino" w:cs="Palatino"/>
          <w:b/>
          <w:color w:val="000000"/>
          <w:sz w:val="22"/>
        </w:rPr>
      </w:pPr>
      <w:r>
        <w:rPr>
          <w:rFonts w:cs="Palatino"/>
          <w:b/>
          <w:color w:val="000000"/>
          <w:sz w:val="22"/>
        </w:rPr>
      </w:r>
    </w:p>
    <w:p>
      <w:pPr>
        <w:pStyle w:val="BodyTextIndent2"/>
        <w:rPr/>
      </w:pPr>
      <w:r>
        <w:rPr/>
        <w:t>There are no known applicable taxes or governmental charges which are capable of being estimated as of the date of this filing, and none were included in the Department’s Revenue Requirement.</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8"/>
        </w:numPr>
        <w:rPr>
          <w:rFonts w:ascii="Palatino" w:hAnsi="Palatino" w:cs="Palatino"/>
          <w:b/>
          <w:color w:val="000000"/>
          <w:sz w:val="22"/>
        </w:rPr>
      </w:pPr>
      <w:r>
        <w:rPr>
          <w:rFonts w:cs="Palatino" w:ascii="Palatino" w:hAnsi="Palatino"/>
          <w:b/>
          <w:color w:val="000000"/>
          <w:sz w:val="22"/>
        </w:rPr>
        <w:t>Expenses, liabilities, compensation of trustees and other fiduciaries</w:t>
      </w:r>
    </w:p>
    <w:p>
      <w:pPr>
        <w:pStyle w:val="BodyTextIndent2"/>
        <w:rPr>
          <w:rFonts w:ascii="Palatino" w:hAnsi="Palatino" w:cs="Palatino"/>
          <w:b/>
          <w:color w:val="000000"/>
          <w:sz w:val="22"/>
        </w:rPr>
      </w:pPr>
      <w:r>
        <w:rPr>
          <w:rFonts w:cs="Palatino"/>
          <w:b/>
          <w:color w:val="000000"/>
          <w:sz w:val="22"/>
        </w:rPr>
      </w:r>
    </w:p>
    <w:p>
      <w:pPr>
        <w:pStyle w:val="BodyTextIndent2"/>
        <w:rPr/>
      </w:pPr>
      <w:r>
        <w:rPr/>
        <w:t>Any such charges are anticipated to be those associated with issuance of the Department’s bonds and would be included in the cost of issuance of the Bonds.</w:t>
      </w:r>
    </w:p>
    <w:p>
      <w:pPr>
        <w:pStyle w:val="Normal"/>
        <w:jc w:val="end"/>
        <w:rPr>
          <w:rFonts w:ascii="Palatino" w:hAnsi="Palatino" w:cs="Palatino"/>
          <w:color w:val="000000"/>
          <w:sz w:val="22"/>
        </w:rPr>
      </w:pPr>
      <w:r>
        <w:rPr>
          <w:rFonts w:cs="Palatino" w:ascii="Palatino" w:hAnsi="Palatino"/>
          <w:color w:val="000000"/>
          <w:sz w:val="22"/>
        </w:rPr>
      </w:r>
    </w:p>
    <w:p>
      <w:pPr>
        <w:pStyle w:val="Normal"/>
        <w:jc w:val="end"/>
        <w:rPr>
          <w:rFonts w:ascii="Palatino" w:hAnsi="Palatino" w:cs="Palatino"/>
          <w:color w:val="000000"/>
          <w:sz w:val="22"/>
        </w:rPr>
      </w:pPr>
      <w:r>
        <w:rPr>
          <w:rFonts w:cs="Palatino" w:ascii="Palatino" w:hAnsi="Palatino"/>
          <w:color w:val="000000"/>
          <w:sz w:val="22"/>
        </w:rPr>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8"/>
        </w:numPr>
        <w:rPr>
          <w:rFonts w:ascii="Palatino" w:hAnsi="Palatino" w:cs="Palatino"/>
          <w:b/>
          <w:color w:val="000000"/>
          <w:sz w:val="22"/>
        </w:rPr>
      </w:pPr>
      <w:r>
        <w:rPr>
          <w:rFonts w:cs="Palatino" w:ascii="Palatino" w:hAnsi="Palatino"/>
          <w:b/>
          <w:color w:val="000000"/>
          <w:sz w:val="22"/>
        </w:rPr>
        <w:t>Costs of complying with any rebate requirements relating to the Bonds</w:t>
      </w:r>
    </w:p>
    <w:p>
      <w:pPr>
        <w:pStyle w:val="BodyTextIndent2"/>
        <w:rPr>
          <w:rFonts w:ascii="Palatino" w:hAnsi="Palatino" w:cs="Palatino"/>
          <w:b/>
          <w:color w:val="000000"/>
          <w:sz w:val="22"/>
        </w:rPr>
      </w:pPr>
      <w:r>
        <w:rPr>
          <w:rFonts w:cs="Palatino"/>
          <w:b/>
          <w:color w:val="000000"/>
          <w:sz w:val="22"/>
        </w:rPr>
      </w:r>
    </w:p>
    <w:p>
      <w:pPr>
        <w:pStyle w:val="BodyTextIndent2"/>
        <w:rPr/>
      </w:pPr>
      <w:r>
        <w:rPr/>
        <w:t>No such costs are included during the term of this Revenue Requirement filing.</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8"/>
        </w:numPr>
        <w:rPr>
          <w:rFonts w:ascii="Palatino" w:hAnsi="Palatino" w:cs="Palatino"/>
          <w:b/>
          <w:color w:val="000000"/>
          <w:sz w:val="22"/>
        </w:rPr>
      </w:pPr>
      <w:r>
        <w:rPr>
          <w:rFonts w:cs="Palatino" w:ascii="Palatino" w:hAnsi="Palatino"/>
          <w:b/>
          <w:color w:val="000000"/>
          <w:sz w:val="22"/>
        </w:rPr>
        <w:t>Deposits to fund or replenish operating reserves</w:t>
      </w:r>
    </w:p>
    <w:p>
      <w:pPr>
        <w:pStyle w:val="BodyTextIndent3"/>
        <w:ind w:hanging="0" w:start="360" w:end="0"/>
        <w:rPr>
          <w:rFonts w:ascii="Palatino" w:hAnsi="Palatino" w:cs="Palatino"/>
          <w:b/>
          <w:color w:val="000000"/>
          <w:sz w:val="22"/>
        </w:rPr>
      </w:pPr>
      <w:r>
        <w:rPr>
          <w:rFonts w:cs="Palatino" w:ascii="Palatino" w:hAnsi="Palatino"/>
          <w:b/>
          <w:color w:val="000000"/>
          <w:sz w:val="22"/>
        </w:rPr>
      </w:r>
    </w:p>
    <w:p>
      <w:pPr>
        <w:pStyle w:val="BodyTextIndent3"/>
        <w:ind w:hanging="0" w:start="360" w:end="0"/>
        <w:rPr>
          <w:rFonts w:ascii="Palatino" w:hAnsi="Palatino" w:cs="Palatino"/>
          <w:sz w:val="22"/>
        </w:rPr>
      </w:pPr>
      <w:r>
        <w:rPr>
          <w:rFonts w:cs="Palatino" w:ascii="Palatino" w:hAnsi="Palatino"/>
          <w:sz w:val="22"/>
        </w:rPr>
        <w:t>Initial deposits to fund operating reserves are capitalized in the Department’s Bond issue.  Operating reserves would need to be replenished only if costs were significantly outside the assumptions which underlie the Department’s Revenue Requirement as presented in this filing.  Therefore, there are no assumed costs applicable in this Revenue Requirement filing.</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BodyText2"/>
        <w:rPr>
          <w:rFonts w:eastAsia="Palatino"/>
        </w:rPr>
      </w:pPr>
      <w:r>
        <w:rPr>
          <w:rFonts w:eastAsia="Palatino"/>
        </w:rPr>
        <w:t xml:space="preserve"> </w:t>
      </w:r>
    </w:p>
    <w:p>
      <w:pPr>
        <w:pStyle w:val="Normal"/>
        <w:rPr>
          <w:rFonts w:ascii="Palatino" w:hAnsi="Palatino" w:cs="Palatino"/>
          <w:sz w:val="22"/>
        </w:rPr>
      </w:pPr>
      <w:r>
        <w:rPr>
          <w:rFonts w:cs="Palatino" w:ascii="Palatino" w:hAnsi="Palatino"/>
          <w:sz w:val="22"/>
        </w:rPr>
      </w:r>
    </w:p>
    <w:sectPr>
      <w:headerReference w:type="default" r:id="rId15"/>
      <w:headerReference w:type="first" r:id="rId16"/>
      <w:footerReference w:type="default" r:id="rId17"/>
      <w:footerReference w:type="first" r:id="rId18"/>
      <w:type w:val="nextPage"/>
      <w:pgSz w:w="12240" w:h="15840"/>
      <w:pgMar w:left="1584" w:right="1584" w:gutter="0" w:header="720" w:top="1440"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NewCenturySchlbk">
    <w:charset w:val="00" w:characterSet="windows-1252"/>
    <w:family w:val="roman"/>
    <w:pitch w:val="variable"/>
  </w:font>
  <w:font w:name="Book Antiqua">
    <w:altName w:val="Times New Roman"/>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98120" cy="146685"/>
              <wp:effectExtent l="0" t="0" r="0" b="0"/>
              <wp:wrapSquare wrapText="bothSides"/>
              <wp:docPr id="9" name="Frame1"/>
              <a:graphic xmlns:a="http://schemas.openxmlformats.org/drawingml/2006/main">
                <a:graphicData uri="http://schemas.microsoft.com/office/word/2010/wordprocessingShape">
                  <wps:wsp>
                    <wps:cNvSpPr txBox="1"/>
                    <wps:spPr>
                      <a:xfrm>
                        <a:off x="0" y="0"/>
                        <a:ext cx="198120" cy="146685"/>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5.6pt;height:11.55pt;mso-wrap-distance-left:0pt;mso-wrap-distance-right:0pt;mso-wrap-distance-top:0pt;mso-wrap-distance-bottom:0pt;margin-top:0.05pt;mso-position-vertical-relative:text;margin-left:219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91135" cy="146685"/>
              <wp:effectExtent l="0" t="0" r="0" b="0"/>
              <wp:wrapSquare wrapText="bothSides"/>
              <wp:docPr id="11" name="Frame2"/>
              <a:graphic xmlns:a="http://schemas.openxmlformats.org/drawingml/2006/main">
                <a:graphicData uri="http://schemas.microsoft.com/office/word/2010/wordprocessingShape">
                  <wps:wsp>
                    <wps:cNvSpPr txBox="1"/>
                    <wps:spPr>
                      <a:xfrm>
                        <a:off x="0" y="0"/>
                        <a:ext cx="191135" cy="146685"/>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5.05pt;height:11.55pt;mso-wrap-distance-left:0pt;mso-wrap-distance-right:0pt;mso-wrap-distance-top:0pt;mso-wrap-distance-bottom:0pt;margin-top:0.05pt;mso-position-vertical-relative:text;margin-left:219.3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91135" cy="146685"/>
              <wp:effectExtent l="0" t="0" r="0" b="0"/>
              <wp:wrapSquare wrapText="bothSides"/>
              <wp:docPr id="12" name="Frame3"/>
              <a:graphic xmlns:a="http://schemas.openxmlformats.org/drawingml/2006/main">
                <a:graphicData uri="http://schemas.microsoft.com/office/word/2010/wordprocessingShape">
                  <wps:wsp>
                    <wps:cNvSpPr txBox="1"/>
                    <wps:spPr>
                      <a:xfrm>
                        <a:off x="0" y="0"/>
                        <a:ext cx="191135" cy="146685"/>
                      </a:xfrm>
                      <a:prstGeom prst="rect"/>
                      <a:solidFill>
                        <a:srgbClr val="FFFFFF">
                          <a:alpha val="0"/>
                        </a:srgbClr>
                      </a:solidFill>
                    </wps:spPr>
                    <wps:txbx>
                      <w:txbxContent>
                        <w:p>
                          <w:pPr>
                            <w:pStyle w:val="Footer"/>
                            <w:rPr>
                              <w:rStyle w:val="PageNumber"/>
                            </w:rPr>
                          </w:pPr>
                          <w:r>
                            <w:rPr>
                              <w:rStyle w:val="PageNumber"/>
                            </w:rPr>
                            <w:t>C-</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5.05pt;height:11.55pt;mso-wrap-distance-left:0pt;mso-wrap-distance-right:0pt;mso-wrap-distance-top:0pt;mso-wrap-distance-bottom:0pt;margin-top:0.05pt;mso-position-vertical-relative:text;margin-left:219.3pt;mso-position-horizontal:center;mso-position-horizontal-relative:margin">
              <v:fill opacity="0f"/>
              <v:textbox inset="0in,0in,0in,0in">
                <w:txbxContent>
                  <w:p>
                    <w:pPr>
                      <w:pStyle w:val="Footer"/>
                      <w:rPr>
                        <w:rStyle w:val="PageNumber"/>
                      </w:rPr>
                    </w:pPr>
                    <w:r>
                      <w:rPr>
                        <w:rStyle w:val="PageNumber"/>
                      </w:rPr>
                      <w:t>C-</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4"/>
      <w:numFmt w:val="bullet"/>
      <w:lvlText w:val="-"/>
      <w:lvlJc w:val="start"/>
      <w:pPr>
        <w:tabs>
          <w:tab w:val="num" w:pos="480"/>
        </w:tabs>
        <w:ind w:start="480" w:hanging="360"/>
      </w:pPr>
      <w:rPr>
        <w:rFonts w:ascii="Times New Roman" w:hAnsi="Times New Roman" w:cs="Times New Roman"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2"/>
      <w:numFmt w:val="decimal"/>
      <w:lvlText w:val="%1."/>
      <w:lvlJc w:val="start"/>
      <w:pPr>
        <w:tabs>
          <w:tab w:val="num" w:pos="360"/>
        </w:tabs>
        <w:ind w:start="360" w:hanging="360"/>
      </w:pPr>
      <w:rPr>
        <w:b w:val="false"/>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4"/>
      <w:numFmt w:val="decimal"/>
      <w:lvlText w:val="%1."/>
      <w:lvlJc w:val="start"/>
      <w:pPr>
        <w:tabs>
          <w:tab w:val="num" w:pos="360"/>
        </w:tabs>
        <w:ind w:start="360" w:hanging="360"/>
      </w:pPr>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Palatino" w:hAnsi="Palatino" w:cs="Palatino"/>
      <w:b/>
      <w:sz w:val="22"/>
    </w:rPr>
  </w:style>
  <w:style w:type="paragraph" w:styleId="Heading2">
    <w:name w:val="heading 2"/>
    <w:basedOn w:val="Normal"/>
    <w:next w:val="Normal"/>
    <w:qFormat/>
    <w:pPr>
      <w:keepNext w:val="true"/>
      <w:numPr>
        <w:ilvl w:val="1"/>
        <w:numId w:val="1"/>
      </w:numPr>
      <w:autoSpaceDE w:val="false"/>
      <w:spacing w:lineRule="auto" w:line="360"/>
      <w:outlineLvl w:val="1"/>
    </w:pPr>
    <w:rPr>
      <w:rFonts w:ascii="Courier New" w:hAnsi="Courier New" w:cs="Courier New"/>
      <w:u w:val="single"/>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outlineLvl w:val="3"/>
    </w:pPr>
    <w:rPr>
      <w:rFonts w:ascii="Palatino" w:hAnsi="Palatino" w:cs="Palatino"/>
      <w:b/>
      <w:sz w:val="22"/>
    </w:rPr>
  </w:style>
  <w:style w:type="character" w:styleId="WW8Num1z0">
    <w:name w:val="WW8Num1z0"/>
    <w:qFormat/>
    <w:rPr>
      <w:rFonts w:ascii="Symbol" w:hAnsi="Symbol" w:cs="Symbol"/>
    </w:rPr>
  </w:style>
  <w:style w:type="character" w:styleId="WW8Num2z0">
    <w:name w:val="WW8Num2z0"/>
    <w:qFormat/>
    <w:rPr>
      <w:rFonts w:ascii="Times New Roman" w:hAnsi="Times New Roman" w:cs="Times New Roman"/>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b/>
    </w:rPr>
  </w:style>
  <w:style w:type="character" w:styleId="WW8Num13z0">
    <w:name w:val="WW8Num13z0"/>
    <w:qFormat/>
    <w:rPr>
      <w:b w:val="false"/>
    </w:rPr>
  </w:style>
  <w:style w:type="character" w:styleId="WW8Num14z0">
    <w:name w:val="WW8Num14z0"/>
    <w:qFormat/>
    <w:rPr>
      <w:rFonts w:ascii="Wingdings" w:hAnsi="Wingdings" w:cs="Wingdings"/>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Typewriter">
    <w:name w:val="Typewriter"/>
    <w:qFormat/>
    <w:rPr>
      <w:rFonts w:ascii="Courier New" w:hAnsi="Courier New" w:cs="Courier New"/>
      <w:sz w:val="20"/>
    </w:rPr>
  </w:style>
  <w:style w:type="paragraph" w:styleId="Heading">
    <w:name w:val="Heading"/>
    <w:basedOn w:val="Normal"/>
    <w:next w:val="BodyText"/>
    <w:qFormat/>
    <w:pPr>
      <w:jc w:val="center"/>
    </w:pPr>
    <w:rPr>
      <w:rFonts w:ascii="Palatino" w:hAnsi="Palatino" w:cs="Palatino"/>
      <w:b/>
      <w:sz w:val="22"/>
    </w:rPr>
  </w:style>
  <w:style w:type="paragraph" w:styleId="BodyText">
    <w:name w:val="Body Text"/>
    <w:basedOn w:val="Normal"/>
    <w:pPr/>
    <w:rPr>
      <w:rFonts w:ascii="NewCenturySchlbk" w:hAnsi="NewCenturySchlbk" w:cs="NewCenturySchlbk"/>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Palatino" w:hAnsi="Palatino" w:cs="Palatino"/>
      <w:sz w:val="22"/>
    </w:rPr>
  </w:style>
  <w:style w:type="paragraph" w:styleId="BodyTextIndent3">
    <w:name w:val="Body Text Indent 3"/>
    <w:basedOn w:val="Normal"/>
    <w:qFormat/>
    <w:pPr>
      <w:ind w:hanging="360" w:start="720" w:end="0"/>
    </w:pPr>
    <w:rPr>
      <w:sz w:val="26"/>
    </w:rPr>
  </w:style>
  <w:style w:type="paragraph" w:styleId="BodyTextIndent">
    <w:name w:val="Body Text Indent"/>
    <w:basedOn w:val="Normal"/>
    <w:pPr>
      <w:ind w:hanging="0" w:start="720" w:end="0"/>
    </w:pPr>
    <w:rPr>
      <w:sz w:val="26"/>
    </w:rPr>
  </w:style>
  <w:style w:type="paragraph" w:styleId="BodyText3">
    <w:name w:val="Body Text 3"/>
    <w:basedOn w:val="Normal"/>
    <w:qFormat/>
    <w:pPr/>
    <w:rPr>
      <w:rFonts w:ascii="Palatino" w:hAnsi="Palatino" w:cs="Palatino"/>
      <w:b/>
      <w:color w:val="FF0000"/>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360" w:end="0"/>
    </w:pPr>
    <w:rPr>
      <w:rFonts w:ascii="Palatino" w:hAnsi="Palatino" w:cs="Palatino"/>
      <w:color w:val="000000"/>
      <w:sz w:val="22"/>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footer" Target="footer1.xml"/><Relationship Id="rId11" Type="http://schemas.openxmlformats.org/officeDocument/2006/relationships/image" Target="media/image9.wmf"/><Relationship Id="rId12" Type="http://schemas.openxmlformats.org/officeDocument/2006/relationships/header" Target="head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2001-07-23T02:55:00Z</dcterms:created>
  <dc:creator>RonN</dc:creator>
  <dc:description/>
  <dc:language>en-CA</dc:language>
  <cp:lastModifiedBy>Tom Lumsden</cp:lastModifiedBy>
  <cp:lastPrinted>2001-07-22T17:02:00Z</cp:lastPrinted>
  <dcterms:modified xsi:type="dcterms:W3CDTF">2001-07-23T02:55:00Z</dcterms:modified>
  <cp:revision>2</cp:revision>
  <dc:subject/>
  <dc:title>EXHIBIT A</dc:title>
</cp:coreProperties>
</file>