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color w:val="000000"/>
          <w:sz w:val="20"/>
          <w:szCs w:val="20"/>
        </w:rPr>
      </w:pPr>
      <w:r>
        <w:rPr>
          <w:color w:val="000000"/>
          <w:sz w:val="20"/>
          <w:szCs w:val="20"/>
        </w:rPr>
        <w:t>In today's reponse to CDWR's RFP, Enron submitted four "concepts" for DWR's consideration.  A few preliminary points:</w:t>
      </w:r>
    </w:p>
    <w:p>
      <w:pPr>
        <w:pStyle w:val="Normal"/>
        <w:autoSpaceDE w:val="false"/>
        <w:spacing w:lineRule="atLeast" w:line="240"/>
        <w:rPr>
          <w:color w:val="000000"/>
          <w:sz w:val="20"/>
          <w:szCs w:val="20"/>
        </w:rPr>
      </w:pPr>
      <w:r>
        <w:rPr>
          <w:color w:val="000000"/>
          <w:sz w:val="20"/>
          <w:szCs w:val="20"/>
        </w:rPr>
      </w:r>
    </w:p>
    <w:p>
      <w:pPr>
        <w:pStyle w:val="Normal"/>
        <w:numPr>
          <w:ilvl w:val="0"/>
          <w:numId w:val="2"/>
        </w:numPr>
        <w:tabs>
          <w:tab w:val="clear" w:pos="720"/>
        </w:tabs>
        <w:autoSpaceDE w:val="false"/>
        <w:spacing w:lineRule="atLeast" w:line="240"/>
        <w:rPr>
          <w:color w:val="000000"/>
          <w:sz w:val="20"/>
          <w:szCs w:val="20"/>
        </w:rPr>
      </w:pPr>
      <w:r>
        <w:rPr>
          <w:color w:val="000000"/>
          <w:sz w:val="20"/>
          <w:szCs w:val="20"/>
        </w:rPr>
        <w:t xml:space="preserve">All prices submitted are indicative and subject to change.  </w:t>
      </w:r>
    </w:p>
    <w:p>
      <w:pPr>
        <w:pStyle w:val="Normal"/>
        <w:numPr>
          <w:ilvl w:val="0"/>
          <w:numId w:val="2"/>
        </w:numPr>
        <w:tabs>
          <w:tab w:val="clear" w:pos="720"/>
        </w:tabs>
        <w:autoSpaceDE w:val="false"/>
        <w:spacing w:lineRule="atLeast" w:line="240"/>
        <w:rPr>
          <w:color w:val="000000"/>
          <w:sz w:val="20"/>
          <w:szCs w:val="20"/>
        </w:rPr>
      </w:pPr>
      <w:r>
        <w:rPr>
          <w:color w:val="000000"/>
          <w:sz w:val="20"/>
          <w:szCs w:val="20"/>
        </w:rPr>
        <w:t>There are still significant concerns about credit risk.</w:t>
      </w:r>
    </w:p>
    <w:p>
      <w:pPr>
        <w:pStyle w:val="Normal"/>
        <w:numPr>
          <w:ilvl w:val="1"/>
          <w:numId w:val="3"/>
        </w:numPr>
        <w:tabs>
          <w:tab w:val="clear" w:pos="720"/>
        </w:tabs>
        <w:autoSpaceDE w:val="false"/>
        <w:spacing w:lineRule="atLeast" w:line="240"/>
        <w:ind w:hanging="360" w:start="720" w:end="0"/>
        <w:rPr>
          <w:color w:val="000000"/>
          <w:sz w:val="20"/>
          <w:szCs w:val="20"/>
        </w:rPr>
      </w:pPr>
      <w:r>
        <w:rPr>
          <w:color w:val="000000"/>
          <w:sz w:val="20"/>
          <w:szCs w:val="20"/>
        </w:rPr>
        <w:t>The language in the legislation authorizing DWR to purchase power is very unclear regarding the rate mechanism that will be used to recover DWR’s power purchase costs from ratepayers.</w:t>
      </w:r>
    </w:p>
    <w:p>
      <w:pPr>
        <w:pStyle w:val="Normal"/>
        <w:numPr>
          <w:ilvl w:val="1"/>
          <w:numId w:val="3"/>
        </w:numPr>
        <w:tabs>
          <w:tab w:val="clear" w:pos="720"/>
        </w:tabs>
        <w:autoSpaceDE w:val="false"/>
        <w:spacing w:lineRule="atLeast" w:line="240"/>
        <w:ind w:hanging="360" w:start="720" w:end="0"/>
        <w:rPr>
          <w:color w:val="000000"/>
          <w:sz w:val="20"/>
          <w:szCs w:val="20"/>
        </w:rPr>
      </w:pPr>
      <w:r>
        <w:rPr>
          <w:color w:val="000000"/>
          <w:sz w:val="20"/>
          <w:szCs w:val="20"/>
        </w:rPr>
        <w:t>Equally important, it is very unclear whether DWR has the jurisdiction to impose on ratepayers the charges necessary to recover its costs.  The CPUC remains the state authority vested with ratemaking authority.  That authority derives from the State Constitution.</w:t>
      </w:r>
    </w:p>
    <w:p>
      <w:pPr>
        <w:pStyle w:val="Normal"/>
        <w:numPr>
          <w:ilvl w:val="1"/>
          <w:numId w:val="3"/>
        </w:numPr>
        <w:tabs>
          <w:tab w:val="clear" w:pos="720"/>
        </w:tabs>
        <w:autoSpaceDE w:val="false"/>
        <w:spacing w:lineRule="atLeast" w:line="240"/>
        <w:ind w:hanging="360" w:start="720" w:end="0"/>
        <w:rPr>
          <w:color w:val="000000"/>
          <w:sz w:val="20"/>
          <w:szCs w:val="20"/>
        </w:rPr>
      </w:pPr>
      <w:r>
        <w:rPr>
          <w:color w:val="000000"/>
          <w:sz w:val="20"/>
          <w:szCs w:val="20"/>
        </w:rPr>
        <w:t>In short, there could be a conflict between the PUC and DWR and it is unclear that DWR would prevail.</w:t>
      </w:r>
    </w:p>
    <w:p>
      <w:pPr>
        <w:pStyle w:val="Normal"/>
        <w:numPr>
          <w:ilvl w:val="1"/>
          <w:numId w:val="3"/>
        </w:numPr>
        <w:tabs>
          <w:tab w:val="clear" w:pos="720"/>
        </w:tabs>
        <w:autoSpaceDE w:val="false"/>
        <w:spacing w:lineRule="atLeast" w:line="240"/>
        <w:ind w:hanging="360" w:start="720" w:end="0"/>
        <w:rPr>
          <w:color w:val="000000"/>
          <w:sz w:val="20"/>
          <w:szCs w:val="20"/>
        </w:rPr>
      </w:pPr>
      <w:r>
        <w:rPr>
          <w:color w:val="000000"/>
          <w:sz w:val="20"/>
          <w:szCs w:val="20"/>
        </w:rPr>
        <w:t>To remedy the credit risk issue, the proposal offers the option of collateral, letter of credit, or other comparable means for each of the offers made.</w:t>
      </w:r>
    </w:p>
    <w:p>
      <w:pPr>
        <w:pStyle w:val="Normal"/>
        <w:keepLines/>
        <w:autoSpaceDE w:val="false"/>
        <w:spacing w:lineRule="atLeast" w:line="240"/>
        <w:rPr>
          <w:color w:val="000000"/>
          <w:sz w:val="20"/>
          <w:szCs w:val="20"/>
        </w:rPr>
      </w:pPr>
      <w:r>
        <w:rPr>
          <w:color w:val="000000"/>
          <w:sz w:val="20"/>
          <w:szCs w:val="20"/>
        </w:rPr>
      </w:r>
    </w:p>
    <w:p>
      <w:pPr>
        <w:pStyle w:val="Normal"/>
        <w:keepLines/>
        <w:autoSpaceDE w:val="false"/>
        <w:spacing w:lineRule="atLeast" w:line="240"/>
        <w:rPr>
          <w:b/>
          <w:bCs/>
          <w:color w:val="000000"/>
          <w:sz w:val="20"/>
          <w:szCs w:val="20"/>
        </w:rPr>
      </w:pPr>
      <w:r>
        <w:rPr>
          <w:b/>
          <w:bCs/>
          <w:color w:val="000000"/>
          <w:sz w:val="20"/>
          <w:szCs w:val="20"/>
        </w:rPr>
        <w:t>1.</w:t>
        <w:tab/>
        <w:t>Market based Trading Products</w:t>
      </w:r>
    </w:p>
    <w:p>
      <w:pPr>
        <w:pStyle w:val="Normal"/>
        <w:keepLines/>
        <w:autoSpaceDE w:val="false"/>
        <w:spacing w:lineRule="atLeast" w:line="240"/>
        <w:rPr>
          <w:b/>
          <w:bCs/>
          <w:color w:val="000000"/>
          <w:sz w:val="20"/>
          <w:szCs w:val="20"/>
        </w:rPr>
      </w:pPr>
      <w:r>
        <w:rPr>
          <w:b/>
          <w:bCs/>
          <w:color w:val="000000"/>
          <w:sz w:val="20"/>
          <w:szCs w:val="20"/>
        </w:rPr>
      </w:r>
    </w:p>
    <w:p>
      <w:pPr>
        <w:pStyle w:val="Normal"/>
        <w:keepLines/>
        <w:autoSpaceDE w:val="false"/>
        <w:spacing w:lineRule="atLeast" w:line="240"/>
        <w:rPr>
          <w:color w:val="000000"/>
          <w:sz w:val="20"/>
          <w:szCs w:val="20"/>
        </w:rPr>
      </w:pPr>
      <w:r>
        <w:rPr>
          <w:color w:val="000000"/>
          <w:sz w:val="20"/>
          <w:szCs w:val="20"/>
        </w:rPr>
        <w:t>In Blocks of 25, 50, 100 and 200 MWs, for 1, 2, 5 and 10 year terms, consisting of peak and off peak power.  Prices ranged from $81/MWH to $255/MWH.  The details are attached at the end of this note.</w:t>
      </w:r>
    </w:p>
    <w:p>
      <w:pPr>
        <w:pStyle w:val="Normal"/>
        <w:keepLines/>
        <w:autoSpaceDE w:val="false"/>
        <w:spacing w:lineRule="atLeast" w:line="240"/>
        <w:rPr>
          <w:color w:val="000000"/>
          <w:sz w:val="20"/>
          <w:szCs w:val="20"/>
        </w:rPr>
      </w:pPr>
      <w:r>
        <w:rPr>
          <w:color w:val="000000"/>
          <w:sz w:val="20"/>
          <w:szCs w:val="20"/>
        </w:rPr>
      </w:r>
    </w:p>
    <w:p>
      <w:pPr>
        <w:pStyle w:val="Normal"/>
        <w:keepLines/>
        <w:autoSpaceDE w:val="false"/>
        <w:spacing w:lineRule="atLeast" w:line="240"/>
        <w:rPr>
          <w:b/>
          <w:bCs/>
          <w:color w:val="000000"/>
          <w:sz w:val="20"/>
          <w:szCs w:val="20"/>
        </w:rPr>
      </w:pPr>
      <w:r>
        <w:rPr>
          <w:b/>
          <w:bCs/>
          <w:color w:val="000000"/>
          <w:sz w:val="20"/>
          <w:szCs w:val="20"/>
        </w:rPr>
        <w:t>2.</w:t>
        <w:tab/>
        <w:t>Unit contingent power</w:t>
      </w:r>
    </w:p>
    <w:p>
      <w:pPr>
        <w:pStyle w:val="Normal"/>
        <w:keepLines/>
        <w:autoSpaceDE w:val="false"/>
        <w:spacing w:lineRule="atLeast" w:line="240"/>
        <w:rPr>
          <w:b/>
          <w:bCs/>
          <w:color w:val="000000"/>
          <w:sz w:val="20"/>
          <w:szCs w:val="22"/>
        </w:rPr>
      </w:pPr>
      <w:r>
        <w:rPr>
          <w:b/>
          <w:bCs/>
          <w:color w:val="000000"/>
          <w:sz w:val="20"/>
          <w:szCs w:val="22"/>
        </w:rPr>
      </w:r>
    </w:p>
    <w:p>
      <w:pPr>
        <w:pStyle w:val="Normal"/>
        <w:keepLines/>
        <w:autoSpaceDE w:val="false"/>
        <w:spacing w:lineRule="atLeast" w:line="240"/>
        <w:rPr>
          <w:color w:val="000000"/>
          <w:sz w:val="20"/>
          <w:szCs w:val="22"/>
        </w:rPr>
      </w:pPr>
      <w:r>
        <w:rPr>
          <w:color w:val="000000"/>
          <w:sz w:val="20"/>
          <w:szCs w:val="22"/>
        </w:rPr>
        <w:t>Offers from two power plants Enron currently has under development.</w:t>
      </w:r>
    </w:p>
    <w:p>
      <w:pPr>
        <w:pStyle w:val="Normal"/>
        <w:keepLines/>
        <w:autoSpaceDE w:val="false"/>
        <w:spacing w:lineRule="atLeast" w:line="240"/>
        <w:rPr>
          <w:color w:val="000000"/>
          <w:sz w:val="20"/>
          <w:szCs w:val="22"/>
        </w:rPr>
      </w:pPr>
      <w:r>
        <w:rPr>
          <w:color w:val="000000"/>
          <w:sz w:val="20"/>
          <w:szCs w:val="22"/>
        </w:rPr>
      </w:r>
    </w:p>
    <w:p>
      <w:pPr>
        <w:pStyle w:val="Heading1"/>
        <w:ind w:hanging="0" w:start="0"/>
        <w:rPr/>
      </w:pPr>
      <w:r>
        <w:rPr/>
        <w:t>Pastoria (30 miles outside of Bakersfield, CA)</w:t>
      </w:r>
    </w:p>
    <w:p>
      <w:pPr>
        <w:pStyle w:val="Normal"/>
        <w:keepLines/>
        <w:autoSpaceDE w:val="false"/>
        <w:spacing w:lineRule="atLeast" w:line="240"/>
        <w:rPr/>
      </w:pPr>
      <w:r>
        <w:rPr>
          <w:b/>
          <w:bCs/>
          <w:color w:val="000000"/>
          <w:sz w:val="20"/>
          <w:szCs w:val="22"/>
        </w:rPr>
        <w:t xml:space="preserve">Term: </w:t>
        <w:tab/>
        <w:tab/>
      </w:r>
      <w:r>
        <w:rPr>
          <w:color w:val="000000"/>
          <w:sz w:val="20"/>
          <w:szCs w:val="22"/>
        </w:rPr>
        <w:t>10 years</w:t>
      </w:r>
    </w:p>
    <w:p>
      <w:pPr>
        <w:pStyle w:val="Normal"/>
        <w:keepLines/>
        <w:autoSpaceDE w:val="false"/>
        <w:spacing w:lineRule="atLeast" w:line="240"/>
        <w:rPr/>
      </w:pPr>
      <w:r>
        <w:rPr>
          <w:b/>
          <w:bCs/>
          <w:color w:val="000000"/>
          <w:sz w:val="20"/>
          <w:szCs w:val="22"/>
        </w:rPr>
        <w:t xml:space="preserve">Quantity: </w:t>
        <w:tab/>
      </w:r>
      <w:r>
        <w:rPr>
          <w:color w:val="000000"/>
          <w:sz w:val="20"/>
          <w:szCs w:val="22"/>
        </w:rPr>
        <w:t xml:space="preserve">750 (nominal) MW </w:t>
      </w:r>
    </w:p>
    <w:p>
      <w:pPr>
        <w:pStyle w:val="Normal"/>
        <w:keepLines/>
        <w:autoSpaceDE w:val="false"/>
        <w:spacing w:lineRule="atLeast" w:line="240"/>
        <w:rPr/>
      </w:pPr>
      <w:r>
        <w:rPr>
          <w:b/>
          <w:bCs/>
          <w:color w:val="000000"/>
          <w:sz w:val="20"/>
          <w:szCs w:val="22"/>
        </w:rPr>
        <w:t>Price:</w:t>
      </w:r>
      <w:r>
        <w:rPr>
          <w:color w:val="000000"/>
          <w:sz w:val="20"/>
          <w:szCs w:val="22"/>
        </w:rPr>
        <w:tab/>
        <w:tab/>
        <w:t>$57.50/MWh</w:t>
      </w:r>
    </w:p>
    <w:p>
      <w:pPr>
        <w:pStyle w:val="Normal"/>
        <w:keepLines/>
        <w:autoSpaceDE w:val="false"/>
        <w:spacing w:lineRule="atLeast" w:line="240"/>
        <w:rPr/>
      </w:pPr>
      <w:r>
        <w:rPr>
          <w:b/>
          <w:bCs/>
          <w:color w:val="000000"/>
          <w:sz w:val="20"/>
          <w:szCs w:val="22"/>
        </w:rPr>
        <w:t>Location:</w:t>
      </w:r>
      <w:r>
        <w:rPr>
          <w:color w:val="000000"/>
          <w:sz w:val="20"/>
          <w:szCs w:val="22"/>
        </w:rPr>
        <w:tab/>
        <w:t xml:space="preserve">SP15 (Edison territory) </w:t>
      </w:r>
    </w:p>
    <w:p>
      <w:pPr>
        <w:pStyle w:val="Normal"/>
        <w:keepLines/>
        <w:autoSpaceDE w:val="false"/>
        <w:spacing w:lineRule="atLeast" w:line="240"/>
        <w:rPr>
          <w:color w:val="000000"/>
          <w:sz w:val="20"/>
        </w:rPr>
      </w:pPr>
      <w:r>
        <w:rPr>
          <w:b/>
          <w:bCs/>
          <w:color w:val="000000"/>
          <w:sz w:val="20"/>
          <w:szCs w:val="22"/>
        </w:rPr>
        <w:t>Online date:</w:t>
      </w:r>
      <w:r>
        <w:rPr>
          <w:color w:val="000000"/>
          <w:sz w:val="20"/>
          <w:szCs w:val="22"/>
        </w:rPr>
        <w:tab/>
        <w:t xml:space="preserve">September 2003 </w:t>
      </w:r>
    </w:p>
    <w:p>
      <w:pPr>
        <w:pStyle w:val="Normal"/>
        <w:autoSpaceDE w:val="false"/>
        <w:spacing w:lineRule="atLeast" w:line="240"/>
        <w:ind w:hanging="1710" w:start="1710" w:end="0"/>
        <w:rPr>
          <w:color w:val="000000"/>
          <w:sz w:val="20"/>
        </w:rPr>
      </w:pPr>
      <w:r>
        <w:rPr>
          <w:color w:val="000000"/>
          <w:sz w:val="20"/>
        </w:rPr>
      </w:r>
    </w:p>
    <w:p>
      <w:pPr>
        <w:pStyle w:val="BodyTextIndent"/>
        <w:ind w:start="0" w:end="0"/>
        <w:rPr>
          <w:b/>
          <w:bCs/>
          <w:i/>
          <w:i/>
          <w:iCs/>
          <w:sz w:val="20"/>
        </w:rPr>
      </w:pPr>
      <w:r>
        <w:rPr>
          <w:b/>
          <w:bCs/>
          <w:i/>
          <w:iCs/>
          <w:sz w:val="20"/>
        </w:rPr>
        <w:t>Las Vegas Cogen (City of North Las Vegas, NV)</w:t>
      </w:r>
    </w:p>
    <w:p>
      <w:pPr>
        <w:pStyle w:val="Normal"/>
        <w:keepLines/>
        <w:autoSpaceDE w:val="false"/>
        <w:spacing w:lineRule="atLeast" w:line="240"/>
        <w:rPr/>
      </w:pPr>
      <w:r>
        <w:rPr>
          <w:b/>
          <w:bCs/>
          <w:color w:val="000000"/>
          <w:sz w:val="20"/>
          <w:szCs w:val="22"/>
        </w:rPr>
        <w:t xml:space="preserve">Term: </w:t>
        <w:tab/>
        <w:tab/>
      </w:r>
      <w:r>
        <w:rPr>
          <w:color w:val="000000"/>
          <w:sz w:val="20"/>
          <w:szCs w:val="22"/>
        </w:rPr>
        <w:t>10 years</w:t>
      </w:r>
    </w:p>
    <w:p>
      <w:pPr>
        <w:pStyle w:val="Normal"/>
        <w:keepLines/>
        <w:autoSpaceDE w:val="false"/>
        <w:spacing w:lineRule="atLeast" w:line="240"/>
        <w:rPr/>
      </w:pPr>
      <w:r>
        <w:rPr>
          <w:b/>
          <w:bCs/>
          <w:color w:val="000000"/>
          <w:sz w:val="20"/>
          <w:szCs w:val="22"/>
        </w:rPr>
        <w:t xml:space="preserve">Quantity: </w:t>
        <w:tab/>
      </w:r>
      <w:r>
        <w:rPr>
          <w:color w:val="000000"/>
          <w:sz w:val="20"/>
          <w:szCs w:val="22"/>
        </w:rPr>
        <w:t xml:space="preserve">222 (nominal) MW </w:t>
      </w:r>
    </w:p>
    <w:p>
      <w:pPr>
        <w:pStyle w:val="Normal"/>
        <w:keepLines/>
        <w:autoSpaceDE w:val="false"/>
        <w:spacing w:lineRule="atLeast" w:line="240"/>
        <w:rPr/>
      </w:pPr>
      <w:r>
        <w:rPr>
          <w:b/>
          <w:bCs/>
          <w:color w:val="000000"/>
          <w:sz w:val="20"/>
          <w:szCs w:val="22"/>
        </w:rPr>
        <w:t>Price:</w:t>
      </w:r>
      <w:r>
        <w:rPr>
          <w:color w:val="000000"/>
          <w:sz w:val="20"/>
          <w:szCs w:val="22"/>
        </w:rPr>
        <w:tab/>
        <w:tab/>
        <w:t>$73.00 /MWh</w:t>
      </w:r>
    </w:p>
    <w:p>
      <w:pPr>
        <w:pStyle w:val="Normal"/>
        <w:keepLines/>
        <w:autoSpaceDE w:val="false"/>
        <w:spacing w:lineRule="atLeast" w:line="240"/>
        <w:rPr/>
      </w:pPr>
      <w:r>
        <w:rPr>
          <w:b/>
          <w:bCs/>
          <w:color w:val="000000"/>
          <w:sz w:val="20"/>
          <w:szCs w:val="22"/>
        </w:rPr>
        <w:t>Location:</w:t>
      </w:r>
      <w:r>
        <w:rPr>
          <w:color w:val="000000"/>
          <w:sz w:val="20"/>
          <w:szCs w:val="22"/>
        </w:rPr>
        <w:tab/>
        <w:t xml:space="preserve">SP15 (Edison territory) </w:t>
      </w:r>
    </w:p>
    <w:p>
      <w:pPr>
        <w:pStyle w:val="Normal"/>
        <w:keepLines/>
        <w:autoSpaceDE w:val="false"/>
        <w:spacing w:lineRule="atLeast" w:line="240"/>
        <w:rPr>
          <w:color w:val="000000"/>
          <w:sz w:val="20"/>
        </w:rPr>
      </w:pPr>
      <w:r>
        <w:rPr>
          <w:b/>
          <w:bCs/>
          <w:color w:val="000000"/>
          <w:sz w:val="20"/>
          <w:szCs w:val="22"/>
        </w:rPr>
        <w:t>Online date:</w:t>
      </w:r>
      <w:r>
        <w:rPr>
          <w:color w:val="000000"/>
          <w:sz w:val="20"/>
          <w:szCs w:val="22"/>
        </w:rPr>
        <w:tab/>
        <w:t xml:space="preserve">September 2002 </w:t>
      </w:r>
    </w:p>
    <w:p>
      <w:pPr>
        <w:pStyle w:val="BodyTextIndent"/>
        <w:ind w:start="0" w:end="0"/>
        <w:rPr>
          <w:color w:val="000000"/>
          <w:sz w:val="20"/>
        </w:rPr>
      </w:pPr>
      <w:r>
        <w:rPr>
          <w:color w:val="000000"/>
          <w:sz w:val="20"/>
        </w:rPr>
      </w:r>
    </w:p>
    <w:p>
      <w:pPr>
        <w:pStyle w:val="BodyTextIndent"/>
        <w:ind w:start="0" w:end="0"/>
        <w:rPr>
          <w:sz w:val="20"/>
        </w:rPr>
      </w:pPr>
      <w:r>
        <w:rPr>
          <w:sz w:val="20"/>
        </w:rPr>
      </w:r>
    </w:p>
    <w:p>
      <w:pPr>
        <w:pStyle w:val="BodyText2"/>
        <w:rPr>
          <w:sz w:val="20"/>
        </w:rPr>
      </w:pPr>
      <w:r>
        <w:rPr>
          <w:b/>
          <w:bCs/>
          <w:sz w:val="20"/>
        </w:rPr>
        <w:t>3.</w:t>
        <w:tab/>
        <w:t>Term financial gas swap</w:t>
      </w:r>
    </w:p>
    <w:p>
      <w:pPr>
        <w:pStyle w:val="BodyText2"/>
        <w:ind w:start="360" w:end="0"/>
        <w:rPr>
          <w:sz w:val="20"/>
        </w:rPr>
      </w:pPr>
      <w:r>
        <w:rPr>
          <w:sz w:val="20"/>
        </w:rPr>
      </w:r>
    </w:p>
    <w:p>
      <w:pPr>
        <w:pStyle w:val="BodyText2"/>
        <w:rPr>
          <w:sz w:val="20"/>
        </w:rPr>
      </w:pPr>
      <w:r>
        <w:rPr>
          <w:sz w:val="20"/>
        </w:rPr>
        <w:t xml:space="preserve">Recall that Peevey/Freeman specifically requested a gas offer.  DWR does not have the authority to buy gas.  But Peevey/Freeman have a call on power plant capacity in California and think that they can get around the restriction by assigning to the gas supplier power plant capacity that DWR has on call.  </w:t>
      </w:r>
    </w:p>
    <w:p>
      <w:pPr>
        <w:pStyle w:val="BodyText2"/>
        <w:rPr>
          <w:sz w:val="20"/>
        </w:rPr>
      </w:pPr>
      <w:r>
        <w:rPr>
          <w:sz w:val="20"/>
        </w:rPr>
      </w:r>
    </w:p>
    <w:p>
      <w:pPr>
        <w:pStyle w:val="BodyText2"/>
        <w:rPr>
          <w:sz w:val="20"/>
        </w:rPr>
      </w:pPr>
      <w:r>
        <w:rPr>
          <w:sz w:val="20"/>
        </w:rPr>
        <w:t>Note that a financial gas hedge for 100,000 MMBtu/d would effectively hedge approximately 400 MWs of electricity at a price of $ 62.80/ MWh for a period of 10 years (based upon an implied heat rate of 10,000 Btu/kWh).</w:t>
      </w:r>
      <w:r>
        <w:br w:type="page"/>
      </w:r>
    </w:p>
    <w:p>
      <w:pPr>
        <w:pStyle w:val="Normal"/>
        <w:rPr>
          <w:sz w:val="20"/>
        </w:rPr>
      </w:pPr>
      <w:r>
        <w:rPr>
          <w:sz w:val="20"/>
        </w:rPr>
      </w:r>
    </w:p>
    <w:tbl>
      <w:tblPr>
        <w:tblW w:w="9864" w:type="dxa"/>
        <w:jc w:val="start"/>
        <w:tblInd w:w="0" w:type="dxa"/>
        <w:tblLayout w:type="fixed"/>
        <w:tblCellMar>
          <w:top w:w="0" w:type="dxa"/>
          <w:start w:w="108" w:type="dxa"/>
          <w:bottom w:w="0" w:type="dxa"/>
          <w:end w:w="108" w:type="dxa"/>
        </w:tblCellMar>
      </w:tblPr>
      <w:tblGrid>
        <w:gridCol w:w="2718"/>
        <w:gridCol w:w="504"/>
        <w:gridCol w:w="1710"/>
        <w:gridCol w:w="504"/>
        <w:gridCol w:w="1710"/>
        <w:gridCol w:w="504"/>
        <w:gridCol w:w="1710"/>
        <w:gridCol w:w="504"/>
      </w:tblGrid>
      <w:tr>
        <w:trPr>
          <w:trHeight w:val="360" w:hRule="atLeast"/>
        </w:trPr>
        <w:tc>
          <w:tcPr>
            <w:tcW w:w="2718" w:type="dxa"/>
            <w:tcBorders/>
          </w:tcPr>
          <w:p>
            <w:pPr>
              <w:pStyle w:val="Normal"/>
              <w:snapToGrid w:val="false"/>
              <w:rPr>
                <w:sz w:val="20"/>
                <w:szCs w:val="20"/>
              </w:rPr>
            </w:pPr>
            <w:r>
              <w:rPr>
                <w:sz w:val="20"/>
                <w:szCs w:val="20"/>
              </w:rPr>
            </w:r>
          </w:p>
        </w:tc>
        <w:tc>
          <w:tcPr>
            <w:tcW w:w="2214" w:type="dxa"/>
            <w:gridSpan w:val="2"/>
            <w:tcBorders/>
          </w:tcPr>
          <w:p>
            <w:pPr>
              <w:pStyle w:val="Normal"/>
              <w:snapToGrid w:val="false"/>
              <w:ind w:hanging="486" w:start="486" w:end="0"/>
              <w:rPr>
                <w:sz w:val="20"/>
                <w:szCs w:val="20"/>
              </w:rPr>
            </w:pPr>
            <w:r>
              <w:rPr>
                <w:sz w:val="20"/>
                <w:szCs w:val="20"/>
              </w:rPr>
            </w:r>
          </w:p>
        </w:tc>
        <w:tc>
          <w:tcPr>
            <w:tcW w:w="2214" w:type="dxa"/>
            <w:gridSpan w:val="2"/>
            <w:tcBorders/>
          </w:tcPr>
          <w:p>
            <w:pPr>
              <w:pStyle w:val="Normal"/>
              <w:snapToGrid w:val="false"/>
              <w:rPr>
                <w:sz w:val="20"/>
                <w:szCs w:val="20"/>
              </w:rPr>
            </w:pPr>
            <w:r>
              <w:rPr>
                <w:sz w:val="20"/>
                <w:szCs w:val="20"/>
              </w:rPr>
            </w:r>
          </w:p>
        </w:tc>
        <w:tc>
          <w:tcPr>
            <w:tcW w:w="2214" w:type="dxa"/>
            <w:gridSpan w:val="2"/>
            <w:tcBorders/>
          </w:tcPr>
          <w:p>
            <w:pPr>
              <w:pStyle w:val="Normal"/>
              <w:snapToGrid w:val="false"/>
              <w:rPr>
                <w:sz w:val="20"/>
                <w:szCs w:val="20"/>
              </w:rPr>
            </w:pPr>
            <w:r>
              <w:rPr>
                <w:sz w:val="20"/>
                <w:szCs w:val="20"/>
              </w:rPr>
            </w:r>
          </w:p>
        </w:tc>
        <w:tc>
          <w:tcPr>
            <w:tcW w:w="504" w:type="dxa"/>
            <w:tcBorders/>
            <w:tcMar>
              <w:start w:w="0" w:type="dxa"/>
              <w:end w:w="0" w:type="dxa"/>
            </w:tcMar>
          </w:tcPr>
          <w:p>
            <w:pPr>
              <w:pStyle w:val="Normal"/>
              <w:snapToGrid w:val="false"/>
              <w:rPr>
                <w:sz w:val="20"/>
                <w:szCs w:val="20"/>
              </w:rPr>
            </w:pPr>
            <w:r>
              <w:rPr>
                <w:sz w:val="20"/>
                <w:szCs w:val="20"/>
              </w:rPr>
            </w:r>
          </w:p>
        </w:tc>
      </w:tr>
      <w:tr>
        <w:trPr>
          <w:trHeight w:val="360" w:hRule="atLeast"/>
        </w:trPr>
        <w:tc>
          <w:tcPr>
            <w:tcW w:w="2718" w:type="dxa"/>
            <w:tcBorders/>
          </w:tcPr>
          <w:p>
            <w:pPr>
              <w:pStyle w:val="Heading1"/>
              <w:ind w:hanging="0" w:start="0"/>
              <w:rPr>
                <w:rFonts w:eastAsia="Arial Unicode MS"/>
              </w:rPr>
            </w:pPr>
            <w:r>
              <w:rPr/>
              <w:t>Proposed  Term</w:t>
            </w:r>
          </w:p>
        </w:tc>
        <w:tc>
          <w:tcPr>
            <w:tcW w:w="2214" w:type="dxa"/>
            <w:gridSpan w:val="2"/>
            <w:tcBorders/>
          </w:tcPr>
          <w:p>
            <w:pPr>
              <w:pStyle w:val="Normal"/>
              <w:snapToGrid w:val="false"/>
              <w:ind w:start="486" w:end="0"/>
              <w:rPr>
                <w:rFonts w:eastAsia="Arial Unicode MS"/>
                <w:sz w:val="20"/>
                <w:szCs w:val="20"/>
                <w:u w:val="single"/>
              </w:rPr>
            </w:pPr>
            <w:r>
              <w:rPr>
                <w:rFonts w:eastAsia="Arial Unicode MS"/>
                <w:sz w:val="20"/>
                <w:szCs w:val="20"/>
                <w:u w:val="single"/>
              </w:rPr>
            </w:r>
          </w:p>
        </w:tc>
        <w:tc>
          <w:tcPr>
            <w:tcW w:w="2214" w:type="dxa"/>
            <w:gridSpan w:val="2"/>
            <w:tcBorders/>
          </w:tcPr>
          <w:p>
            <w:pPr>
              <w:pStyle w:val="Normal"/>
              <w:rPr>
                <w:sz w:val="20"/>
                <w:szCs w:val="20"/>
                <w:u w:val="single"/>
              </w:rPr>
            </w:pPr>
            <w:r>
              <w:rPr>
                <w:sz w:val="20"/>
                <w:u w:val="single"/>
              </w:rPr>
              <w:t>100,000 MMBtu/d</w:t>
            </w:r>
          </w:p>
        </w:tc>
        <w:tc>
          <w:tcPr>
            <w:tcW w:w="2214" w:type="dxa"/>
            <w:gridSpan w:val="2"/>
            <w:tcBorders/>
          </w:tcPr>
          <w:p>
            <w:pPr>
              <w:pStyle w:val="Normal"/>
              <w:snapToGrid w:val="false"/>
              <w:rPr>
                <w:sz w:val="20"/>
                <w:szCs w:val="20"/>
                <w:u w:val="single"/>
              </w:rPr>
            </w:pPr>
            <w:r>
              <w:rPr>
                <w:sz w:val="20"/>
                <w:szCs w:val="20"/>
                <w:u w:val="single"/>
              </w:rPr>
            </w:r>
          </w:p>
        </w:tc>
        <w:tc>
          <w:tcPr>
            <w:tcW w:w="504" w:type="dxa"/>
            <w:tcBorders/>
            <w:tcMar>
              <w:start w:w="0" w:type="dxa"/>
              <w:end w:w="0" w:type="dxa"/>
            </w:tcMar>
          </w:tcPr>
          <w:p>
            <w:pPr>
              <w:pStyle w:val="Normal"/>
              <w:snapToGrid w:val="false"/>
              <w:rPr>
                <w:sz w:val="20"/>
                <w:szCs w:val="20"/>
                <w:u w:val="single"/>
              </w:rPr>
            </w:pPr>
            <w:r>
              <w:rPr>
                <w:sz w:val="20"/>
                <w:szCs w:val="20"/>
                <w:u w:val="single"/>
              </w:rPr>
            </w:r>
          </w:p>
        </w:tc>
      </w:tr>
      <w:tr>
        <w:trPr>
          <w:trHeight w:val="360" w:hRule="atLeast"/>
        </w:trPr>
        <w:tc>
          <w:tcPr>
            <w:tcW w:w="3222" w:type="dxa"/>
            <w:gridSpan w:val="2"/>
            <w:tcBorders/>
          </w:tcPr>
          <w:p>
            <w:pPr>
              <w:pStyle w:val="Normal"/>
              <w:ind w:firstLine="810" w:end="0"/>
              <w:rPr>
                <w:sz w:val="20"/>
                <w:szCs w:val="20"/>
              </w:rPr>
            </w:pPr>
            <w:r>
              <w:rPr>
                <w:sz w:val="20"/>
              </w:rPr>
              <w:t>Mar 01 – 1 yr</w:t>
            </w:r>
          </w:p>
        </w:tc>
        <w:tc>
          <w:tcPr>
            <w:tcW w:w="2214" w:type="dxa"/>
            <w:gridSpan w:val="2"/>
            <w:tcBorders/>
          </w:tcPr>
          <w:p>
            <w:pPr>
              <w:pStyle w:val="Normal"/>
              <w:snapToGrid w:val="false"/>
              <w:ind w:hanging="486" w:start="486" w:end="0"/>
              <w:rPr>
                <w:sz w:val="20"/>
                <w:szCs w:val="20"/>
              </w:rPr>
            </w:pPr>
            <w:r>
              <w:rPr>
                <w:sz w:val="20"/>
                <w:szCs w:val="20"/>
              </w:rPr>
            </w:r>
          </w:p>
        </w:tc>
        <w:tc>
          <w:tcPr>
            <w:tcW w:w="2214" w:type="dxa"/>
            <w:gridSpan w:val="2"/>
            <w:tcBorders/>
          </w:tcPr>
          <w:p>
            <w:pPr>
              <w:pStyle w:val="Normal"/>
              <w:rPr>
                <w:sz w:val="20"/>
                <w:szCs w:val="20"/>
              </w:rPr>
            </w:pPr>
            <w:r>
              <w:rPr>
                <w:sz w:val="20"/>
              </w:rPr>
              <w:t>$ 8.65</w:t>
            </w:r>
          </w:p>
        </w:tc>
        <w:tc>
          <w:tcPr>
            <w:tcW w:w="2214" w:type="dxa"/>
            <w:gridSpan w:val="2"/>
            <w:tcBorders/>
          </w:tcPr>
          <w:p>
            <w:pPr>
              <w:pStyle w:val="Normal"/>
              <w:snapToGrid w:val="false"/>
              <w:rPr>
                <w:sz w:val="20"/>
                <w:szCs w:val="20"/>
              </w:rPr>
            </w:pPr>
            <w:r>
              <w:rPr>
                <w:sz w:val="20"/>
                <w:szCs w:val="20"/>
              </w:rPr>
            </w:r>
          </w:p>
        </w:tc>
      </w:tr>
      <w:tr>
        <w:trPr>
          <w:trHeight w:val="360" w:hRule="atLeast"/>
        </w:trPr>
        <w:tc>
          <w:tcPr>
            <w:tcW w:w="3222" w:type="dxa"/>
            <w:gridSpan w:val="2"/>
            <w:tcBorders/>
          </w:tcPr>
          <w:p>
            <w:pPr>
              <w:pStyle w:val="Normal"/>
              <w:ind w:firstLine="810" w:end="0"/>
              <w:rPr>
                <w:sz w:val="20"/>
                <w:szCs w:val="20"/>
              </w:rPr>
            </w:pPr>
            <w:r>
              <w:rPr>
                <w:sz w:val="20"/>
              </w:rPr>
              <w:t>Mar 01 – 5 yr</w:t>
            </w:r>
          </w:p>
        </w:tc>
        <w:tc>
          <w:tcPr>
            <w:tcW w:w="2214" w:type="dxa"/>
            <w:gridSpan w:val="2"/>
            <w:tcBorders/>
          </w:tcPr>
          <w:p>
            <w:pPr>
              <w:pStyle w:val="Normal"/>
              <w:snapToGrid w:val="false"/>
              <w:ind w:hanging="486" w:start="486" w:end="0"/>
              <w:rPr>
                <w:sz w:val="20"/>
                <w:szCs w:val="20"/>
              </w:rPr>
            </w:pPr>
            <w:r>
              <w:rPr>
                <w:sz w:val="20"/>
                <w:szCs w:val="20"/>
              </w:rPr>
            </w:r>
          </w:p>
        </w:tc>
        <w:tc>
          <w:tcPr>
            <w:tcW w:w="2214" w:type="dxa"/>
            <w:gridSpan w:val="2"/>
            <w:tcBorders/>
          </w:tcPr>
          <w:p>
            <w:pPr>
              <w:pStyle w:val="Normal"/>
              <w:rPr>
                <w:sz w:val="20"/>
                <w:szCs w:val="20"/>
              </w:rPr>
            </w:pPr>
            <w:r>
              <w:rPr>
                <w:sz w:val="20"/>
              </w:rPr>
              <w:t>$ 6.76</w:t>
            </w:r>
          </w:p>
        </w:tc>
        <w:tc>
          <w:tcPr>
            <w:tcW w:w="2214" w:type="dxa"/>
            <w:gridSpan w:val="2"/>
            <w:tcBorders/>
          </w:tcPr>
          <w:p>
            <w:pPr>
              <w:pStyle w:val="Normal"/>
              <w:snapToGrid w:val="false"/>
              <w:rPr>
                <w:sz w:val="20"/>
                <w:szCs w:val="20"/>
              </w:rPr>
            </w:pPr>
            <w:r>
              <w:rPr>
                <w:sz w:val="20"/>
                <w:szCs w:val="20"/>
              </w:rPr>
            </w:r>
          </w:p>
        </w:tc>
      </w:tr>
      <w:tr>
        <w:trPr>
          <w:trHeight w:val="360" w:hRule="atLeast"/>
        </w:trPr>
        <w:tc>
          <w:tcPr>
            <w:tcW w:w="3222" w:type="dxa"/>
            <w:gridSpan w:val="2"/>
            <w:tcBorders/>
          </w:tcPr>
          <w:p>
            <w:pPr>
              <w:pStyle w:val="Normal"/>
              <w:ind w:firstLine="810" w:end="0"/>
              <w:rPr>
                <w:sz w:val="20"/>
                <w:szCs w:val="20"/>
              </w:rPr>
            </w:pPr>
            <w:r>
              <w:rPr>
                <w:sz w:val="20"/>
              </w:rPr>
              <w:t>Mar 01 – 10 yr</w:t>
            </w:r>
          </w:p>
        </w:tc>
        <w:tc>
          <w:tcPr>
            <w:tcW w:w="2214" w:type="dxa"/>
            <w:gridSpan w:val="2"/>
            <w:tcBorders/>
          </w:tcPr>
          <w:p>
            <w:pPr>
              <w:pStyle w:val="Normal"/>
              <w:snapToGrid w:val="false"/>
              <w:ind w:hanging="486" w:start="486" w:end="0"/>
              <w:rPr>
                <w:sz w:val="20"/>
                <w:szCs w:val="20"/>
              </w:rPr>
            </w:pPr>
            <w:r>
              <w:rPr>
                <w:sz w:val="20"/>
                <w:szCs w:val="20"/>
              </w:rPr>
            </w:r>
          </w:p>
        </w:tc>
        <w:tc>
          <w:tcPr>
            <w:tcW w:w="2214" w:type="dxa"/>
            <w:gridSpan w:val="2"/>
            <w:tcBorders/>
          </w:tcPr>
          <w:p>
            <w:pPr>
              <w:pStyle w:val="Normal"/>
              <w:rPr>
                <w:sz w:val="20"/>
                <w:szCs w:val="20"/>
              </w:rPr>
            </w:pPr>
            <w:r>
              <w:rPr>
                <w:sz w:val="20"/>
              </w:rPr>
              <w:t>$ 6.28</w:t>
            </w:r>
          </w:p>
        </w:tc>
        <w:tc>
          <w:tcPr>
            <w:tcW w:w="2214" w:type="dxa"/>
            <w:gridSpan w:val="2"/>
            <w:tcBorders/>
          </w:tcPr>
          <w:p>
            <w:pPr>
              <w:pStyle w:val="Normal"/>
              <w:snapToGrid w:val="false"/>
              <w:rPr>
                <w:sz w:val="20"/>
                <w:szCs w:val="20"/>
              </w:rPr>
            </w:pPr>
            <w:r>
              <w:rPr>
                <w:sz w:val="20"/>
                <w:szCs w:val="20"/>
              </w:rPr>
            </w:r>
          </w:p>
        </w:tc>
      </w:tr>
    </w:tbl>
    <w:p>
      <w:pPr>
        <w:pStyle w:val="Normal"/>
        <w:rPr>
          <w:sz w:val="22"/>
          <w:u w:val="single"/>
        </w:rPr>
      </w:pPr>
      <w:r>
        <w:rPr>
          <w:sz w:val="22"/>
          <w:u w:val="single"/>
        </w:rPr>
      </w:r>
    </w:p>
    <w:p>
      <w:pPr>
        <w:pStyle w:val="Normal"/>
        <w:rPr>
          <w:b/>
          <w:bCs/>
          <w:sz w:val="20"/>
        </w:rPr>
      </w:pPr>
      <w:r>
        <w:rPr>
          <w:b/>
          <w:bCs/>
          <w:sz w:val="20"/>
        </w:rPr>
        <w:t>4.</w:t>
        <w:tab/>
        <w:t xml:space="preserve">Hourly Demand-Response Program.  </w:t>
      </w:r>
    </w:p>
    <w:p>
      <w:pPr>
        <w:pStyle w:val="Normal"/>
        <w:ind w:start="360" w:end="0"/>
        <w:rPr>
          <w:b/>
          <w:bCs/>
          <w:sz w:val="20"/>
        </w:rPr>
      </w:pPr>
      <w:r>
        <w:rPr>
          <w:b/>
          <w:bCs/>
          <w:sz w:val="20"/>
        </w:rPr>
      </w:r>
    </w:p>
    <w:p>
      <w:pPr>
        <w:pStyle w:val="Normal"/>
        <w:rPr/>
      </w:pPr>
      <w:r>
        <w:rPr>
          <w:sz w:val="20"/>
        </w:rPr>
        <w:t xml:space="preserve">Enron proposes to develop and assist CDWR in implementing an hourly demand-response program.  Under the program, the ISO would repurchase aggregated customer load at hourly market prices.  The voluntary curtailment programs would provide incentives for greater customer participation during the hours that power is most needed and most expensive.  </w:t>
      </w:r>
      <w:r>
        <w:rPr>
          <w:b/>
          <w:bCs/>
          <w:sz w:val="20"/>
        </w:rPr>
        <w:t>Enron has the potential to create up to 400 MW of on peak capacity this summer, and in excess of 1000 MW by summer 2002, total market participation could easily be 2 to 3 times this level.</w:t>
      </w:r>
    </w:p>
    <w:p>
      <w:pPr>
        <w:pStyle w:val="Normal"/>
        <w:ind w:firstLine="720" w:end="0"/>
        <w:rPr>
          <w:b/>
          <w:bCs/>
          <w:sz w:val="20"/>
          <w:u w:val="single"/>
        </w:rPr>
      </w:pPr>
      <w:r>
        <w:rPr>
          <w:b/>
          <w:bCs/>
          <w:sz w:val="20"/>
          <w:u w:val="single"/>
        </w:rPr>
      </w:r>
    </w:p>
    <w:p>
      <w:pPr>
        <w:pStyle w:val="Normal"/>
        <w:ind w:firstLine="720" w:end="0"/>
        <w:rPr>
          <w:sz w:val="20"/>
          <w:u w:val="single"/>
        </w:rPr>
      </w:pPr>
      <w:r>
        <w:rPr>
          <w:sz w:val="20"/>
          <w:u w:val="single"/>
        </w:rPr>
      </w:r>
    </w:p>
    <w:p>
      <w:pPr>
        <w:pStyle w:val="Heading2"/>
        <w:ind w:hanging="0" w:start="0"/>
        <w:rPr/>
      </w:pPr>
      <w:r>
        <w:rPr/>
        <w:t>Details of "Market based Trading Products"</w:t>
      </w:r>
    </w:p>
    <w:p>
      <w:pPr>
        <w:pStyle w:val="Normal"/>
        <w:keepNext w:val="true"/>
        <w:autoSpaceDE w:val="false"/>
        <w:spacing w:lineRule="atLeast" w:line="240"/>
        <w:rPr>
          <w:b/>
          <w:bCs/>
          <w:color w:val="000000"/>
          <w:sz w:val="20"/>
          <w:szCs w:val="22"/>
        </w:rPr>
      </w:pPr>
      <w:r>
        <w:rPr>
          <w:b/>
          <w:bCs/>
          <w:color w:val="000000"/>
          <w:sz w:val="20"/>
          <w:szCs w:val="22"/>
        </w:rPr>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pPr>
      <w:r>
        <w:rPr>
          <w:b/>
          <w:bCs/>
          <w:color w:val="000000"/>
          <w:sz w:val="20"/>
          <w:szCs w:val="20"/>
        </w:rPr>
        <w:t>Block Size</w:t>
        <w:tab/>
        <w:t>25 MW</w:t>
        <w:tab/>
      </w:r>
      <w:r>
        <w:rPr>
          <w:color w:val="000000"/>
          <w:sz w:val="20"/>
          <w:szCs w:val="20"/>
        </w:rPr>
        <w:tab/>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ab/>
        <w:t>NP15</w:t>
        <w:tab/>
        <w:tab/>
        <w:t>SP15</w:t>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ab/>
        <w:t>Peak</w:t>
        <w:tab/>
        <w:t>Flat</w:t>
        <w:tab/>
        <w:t>Peak</w:t>
        <w:tab/>
        <w:t>Flat</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3/1/01 to 12/31/01</w:t>
        <w:tab/>
        <w:t>242.00</w:t>
        <w:tab/>
        <w:t>210.00</w:t>
        <w:tab/>
        <w:t>240.00</w:t>
        <w:tab/>
        <w:t>193.00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3/1/01 to 12/31/02</w:t>
        <w:tab/>
        <w:t>187.00</w:t>
        <w:tab/>
        <w:t>162.00</w:t>
        <w:tab/>
        <w:t>182.00</w:t>
        <w:tab/>
        <w:t>150.00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3/1/01 to 12/31/05</w:t>
        <w:tab/>
        <w:t>122.00</w:t>
        <w:tab/>
        <w:t>108.00</w:t>
        <w:tab/>
        <w:t>120.00</w:t>
        <w:tab/>
        <w:t>102.00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3/1/01 to 12/31/10</w:t>
        <w:tab/>
        <w:t>94.00</w:t>
        <w:tab/>
        <w:t>87.00</w:t>
        <w:tab/>
        <w:t>91.50</w:t>
        <w:tab/>
        <w:t>81.00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ab/>
        <w:tab/>
        <w:tab/>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pPr>
      <w:r>
        <w:rPr>
          <w:b/>
          <w:bCs/>
          <w:color w:val="000000"/>
          <w:sz w:val="20"/>
          <w:szCs w:val="20"/>
        </w:rPr>
        <w:t>Block Size</w:t>
        <w:tab/>
        <w:t>50 MW</w:t>
        <w:tab/>
      </w:r>
      <w:r>
        <w:rPr>
          <w:color w:val="000000"/>
          <w:sz w:val="20"/>
          <w:szCs w:val="20"/>
        </w:rPr>
        <w:tab/>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ab/>
        <w:t>NP15</w:t>
        <w:tab/>
        <w:tab/>
        <w:t>SP15</w:t>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ab/>
        <w:t>Peak</w:t>
        <w:tab/>
        <w:t>Flat</w:t>
        <w:tab/>
        <w:t>Peak</w:t>
        <w:tab/>
        <w:t>Flat</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3/1/01 to 12/31/01</w:t>
        <w:tab/>
        <w:t>242.00</w:t>
        <w:tab/>
        <w:t>210.00</w:t>
        <w:tab/>
        <w:t>240.00</w:t>
        <w:tab/>
        <w:t>193.00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3/1/01 to 12/31/02</w:t>
        <w:tab/>
        <w:t>187.00</w:t>
        <w:tab/>
        <w:t>162.00</w:t>
        <w:tab/>
        <w:t>182.00</w:t>
        <w:tab/>
        <w:t>150.00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3/1/01 to 12/31/05</w:t>
        <w:tab/>
        <w:t>122.00</w:t>
        <w:tab/>
        <w:t>108.00</w:t>
        <w:tab/>
        <w:t>120.00</w:t>
        <w:tab/>
        <w:t>102.00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3/1/01 to 12/31/10</w:t>
        <w:tab/>
        <w:t>94.00</w:t>
        <w:tab/>
        <w:t>87.00</w:t>
        <w:tab/>
        <w:t>91.50</w:t>
        <w:tab/>
        <w:t>81.00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ab/>
        <w:tab/>
        <w:tab/>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ab/>
        <w:tab/>
        <w:tab/>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pPr>
      <w:r>
        <w:rPr>
          <w:b/>
          <w:bCs/>
          <w:color w:val="000000"/>
          <w:sz w:val="20"/>
          <w:szCs w:val="20"/>
        </w:rPr>
        <w:t>Block Size</w:t>
        <w:tab/>
        <w:t>100 MW</w:t>
        <w:tab/>
      </w:r>
      <w:r>
        <w:rPr>
          <w:color w:val="000000"/>
          <w:sz w:val="20"/>
          <w:szCs w:val="20"/>
        </w:rPr>
        <w:tab/>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ab/>
        <w:t>NP15</w:t>
        <w:tab/>
        <w:tab/>
        <w:t>SP15</w:t>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ab/>
        <w:t>Peak</w:t>
        <w:tab/>
        <w:t>Flat</w:t>
        <w:tab/>
        <w:t>Peak</w:t>
        <w:tab/>
        <w:t>Flat</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3/1/01 to 12/31/01</w:t>
        <w:tab/>
        <w:t>250.00</w:t>
        <w:tab/>
        <w:t>215.00</w:t>
        <w:tab/>
        <w:t>248.00</w:t>
        <w:tab/>
        <w:t>198.00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3/1/01 to 12/31/02</w:t>
        <w:tab/>
        <w:t>190.00</w:t>
        <w:tab/>
        <w:t>165.00</w:t>
        <w:tab/>
        <w:t>185.00</w:t>
        <w:tab/>
        <w:t>153.00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3/1/01 to 12/31/05</w:t>
        <w:tab/>
        <w:t>124.00</w:t>
        <w:tab/>
        <w:t>113.00</w:t>
        <w:tab/>
        <w:t>122.00</w:t>
        <w:tab/>
        <w:t>104.00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3/1/01 to 12/31/10</w:t>
        <w:tab/>
        <w:t>95.00</w:t>
        <w:tab/>
        <w:t>90.00</w:t>
        <w:tab/>
        <w:t>92.50</w:t>
        <w:tab/>
        <w:t>82.00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ab/>
        <w:tab/>
        <w:tab/>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pPr>
      <w:r>
        <w:rPr>
          <w:b/>
          <w:bCs/>
          <w:color w:val="000000"/>
          <w:sz w:val="20"/>
          <w:szCs w:val="20"/>
        </w:rPr>
        <w:t>Block Size</w:t>
        <w:tab/>
        <w:t>200 MW</w:t>
        <w:tab/>
      </w:r>
      <w:r>
        <w:rPr>
          <w:color w:val="000000"/>
          <w:sz w:val="20"/>
          <w:szCs w:val="20"/>
        </w:rPr>
        <w:tab/>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ab/>
        <w:t>NP15</w:t>
        <w:tab/>
        <w:tab/>
        <w:t>SP15</w:t>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ab/>
        <w:t>Peak</w:t>
        <w:tab/>
        <w:t>Flat</w:t>
        <w:tab/>
        <w:t>Peak</w:t>
        <w:tab/>
        <w:t>Flat</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3/1/01 to 12/31/01</w:t>
        <w:tab/>
        <w:t>255.00</w:t>
        <w:tab/>
        <w:t>219.00</w:t>
        <w:tab/>
        <w:t>253.00</w:t>
        <w:tab/>
        <w:t>202.00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3/1/01 to 12/31/02</w:t>
        <w:tab/>
        <w:t>195.00</w:t>
        <w:tab/>
        <w:t>171.00</w:t>
        <w:tab/>
        <w:t>190.00</w:t>
        <w:tab/>
        <w:t>158.00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szCs w:val="20"/>
        </w:rPr>
      </w:pPr>
      <w:r>
        <w:rPr>
          <w:color w:val="000000"/>
          <w:sz w:val="20"/>
          <w:szCs w:val="20"/>
        </w:rPr>
        <w:t>3/1/01 to 12/31/05</w:t>
        <w:tab/>
        <w:t>127.00</w:t>
        <w:tab/>
        <w:t>116.00</w:t>
        <w:tab/>
        <w:t>125.00</w:t>
        <w:tab/>
        <w:t>107.00</w:t>
      </w:r>
    </w:p>
    <w:p>
      <w:pPr>
        <w:pStyle w:val="Normal"/>
        <w:rPr>
          <w:color w:val="000000"/>
          <w:sz w:val="20"/>
          <w:szCs w:val="20"/>
        </w:rPr>
      </w:pPr>
      <w:r>
        <w:rPr>
          <w:color w:val="000000"/>
          <w:sz w:val="20"/>
          <w:szCs w:val="20"/>
        </w:rPr>
        <w:t>3/1/01 to 12/31/10</w:t>
        <w:tab/>
        <w:t>97.00</w:t>
        <w:tab/>
        <w:tab/>
        <w:t>92.00</w:t>
        <w:tab/>
        <w:tab/>
        <w:t>94.50</w:t>
        <w:tab/>
        <w:tab/>
        <w:t>84.00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88" w:hanging="288"/>
      </w:pPr>
      <w:rPr>
        <w:rFonts w:ascii="Wingdings" w:hAnsi="Wingdings" w:cs="Wingdings" w:hint="default"/>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232"/>
        </w:tabs>
        <w:ind w:start="2232" w:hanging="432"/>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keepLines/>
      <w:numPr>
        <w:ilvl w:val="0"/>
        <w:numId w:val="1"/>
      </w:numPr>
      <w:autoSpaceDE w:val="false"/>
      <w:spacing w:lineRule="atLeast" w:line="240"/>
      <w:outlineLvl w:val="0"/>
    </w:pPr>
    <w:rPr>
      <w:b/>
      <w:bCs/>
      <w:i/>
      <w:iCs/>
      <w:color w:val="000000"/>
      <w:sz w:val="20"/>
      <w:szCs w:val="22"/>
    </w:rPr>
  </w:style>
  <w:style w:type="paragraph" w:styleId="Heading2">
    <w:name w:val="heading 2"/>
    <w:basedOn w:val="Normal"/>
    <w:next w:val="Normal"/>
    <w:qFormat/>
    <w:pPr>
      <w:keepNext w:val="true"/>
      <w:numPr>
        <w:ilvl w:val="1"/>
        <w:numId w:val="1"/>
      </w:numPr>
      <w:autoSpaceDE w:val="false"/>
      <w:spacing w:lineRule="atLeast" w:line="240"/>
      <w:outlineLvl w:val="1"/>
    </w:pPr>
    <w:rPr>
      <w:b/>
      <w:bCs/>
      <w:color w:val="000000"/>
      <w:sz w:val="20"/>
      <w:szCs w:val="22"/>
      <w:u w:val="single"/>
    </w:rPr>
  </w:style>
  <w:style w:type="character" w:styleId="WW8Num1z0">
    <w:name w:val="WW8Num1z0"/>
    <w:qFormat/>
    <w:rPr/>
  </w:style>
  <w:style w:type="character" w:styleId="WW8Num2z0">
    <w:name w:val="WW8Num2z0"/>
    <w:qFormat/>
    <w:rPr>
      <w:b/>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sz w:val="22"/>
    </w:rPr>
  </w:style>
  <w:style w:type="character" w:styleId="WW8Num5z0">
    <w:name w:val="WW8Num5z0"/>
    <w:qFormat/>
    <w:rPr>
      <w:rFonts w:ascii="Wingdings" w:hAnsi="Wingdings" w:cs="Wingdings"/>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2"/>
      <w:szCs w:val="20"/>
    </w:rPr>
  </w:style>
  <w:style w:type="paragraph" w:styleId="BodyText2">
    <w:name w:val="Body Text 2"/>
    <w:basedOn w:val="Normal"/>
    <w:qFormat/>
    <w:pPr/>
    <w:rPr>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2001-02-06T20:34:00Z</dcterms:created>
  <dc:creator>jdasovic</dc:creator>
  <dc:description/>
  <dc:language>en-CA</dc:language>
  <cp:lastModifiedBy>jdasovic</cp:lastModifiedBy>
  <dcterms:modified xsi:type="dcterms:W3CDTF">2001-02-06T22:04:00Z</dcterms:modified>
  <cp:revision>4</cp:revision>
  <dc:subject/>
  <dc:title>In today's reponse to CDWR's RFP, Enron submitted four "concepts" for DWR's consideration:</dc:title>
</cp:coreProperties>
</file>