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DEAL APPROVAL SHEET</w:t>
      </w:r>
    </w:p>
    <w:p>
      <w:pPr>
        <w:pStyle w:val="Normal"/>
        <w:rPr>
          <w:b/>
          <w:sz w:val="32"/>
        </w:rPr>
      </w:pPr>
      <w:r>
        <w:rPr>
          <w:b/>
          <w:sz w:val="32"/>
        </w:rPr>
      </w:r>
    </w:p>
    <w:tbl>
      <w:tblPr>
        <w:tblW w:w="10260" w:type="dxa"/>
        <w:jc w:val="start"/>
        <w:tblInd w:w="108" w:type="dxa"/>
        <w:tblLayout w:type="fixed"/>
        <w:tblCellMar>
          <w:top w:w="0" w:type="dxa"/>
          <w:start w:w="108" w:type="dxa"/>
          <w:bottom w:w="0" w:type="dxa"/>
          <w:end w:w="108" w:type="dxa"/>
        </w:tblCellMar>
      </w:tblPr>
      <w:tblGrid>
        <w:gridCol w:w="5130"/>
        <w:gridCol w:w="5130"/>
      </w:tblGrid>
      <w:tr>
        <w:trPr>
          <w:trHeight w:val="1656" w:hRule="atLeast"/>
        </w:trPr>
        <w:tc>
          <w:tcPr>
            <w:tcW w:w="5130" w:type="dxa"/>
            <w:tcBorders>
              <w:top w:val="single" w:sz="8" w:space="0" w:color="000000"/>
              <w:bottom w:val="single" w:sz="8" w:space="0" w:color="000000"/>
            </w:tcBorders>
          </w:tcPr>
          <w:p>
            <w:pPr>
              <w:pStyle w:val="Normal"/>
              <w:ind w:end="792"/>
              <w:rPr>
                <w:b/>
              </w:rPr>
            </w:pPr>
            <w:r>
              <w:rPr>
                <w:b/>
              </w:rPr>
              <w:t>DEAL NAME:  DWR</w:t>
            </w:r>
          </w:p>
          <w:p>
            <w:pPr>
              <w:pStyle w:val="Normal"/>
              <w:tabs>
                <w:tab w:val="clear" w:pos="720"/>
                <w:tab w:val="left" w:pos="4752" w:leader="none"/>
              </w:tabs>
              <w:ind w:end="432"/>
              <w:rPr/>
            </w:pPr>
            <w:r>
              <w:rPr/>
              <w:t>Counterparty:  Department of Water Resources, a division of The State of California</w:t>
            </w:r>
          </w:p>
          <w:p>
            <w:pPr>
              <w:pStyle w:val="Normal"/>
              <w:rPr/>
            </w:pPr>
            <w:r>
              <w:rPr/>
              <w:t>Business Unit: Enron North America</w:t>
            </w:r>
          </w:p>
          <w:p>
            <w:pPr>
              <w:pStyle w:val="Normal"/>
              <w:rPr/>
            </w:pPr>
            <w:r>
              <w:rPr/>
              <w:t>Business Unit Originator: Chris Calger</w:t>
            </w:r>
          </w:p>
          <w:p>
            <w:pPr>
              <w:pStyle w:val="Normal"/>
              <w:tabs>
                <w:tab w:val="clear" w:pos="720"/>
                <w:tab w:val="left" w:pos="1530" w:leader="none"/>
              </w:tabs>
              <w:rPr/>
            </w:pPr>
            <w:r>
              <w:rPr>
                <w:rFonts w:cs="Wingdings" w:ascii="Wingdings" w:hAnsi="Wingdings"/>
              </w:rPr>
              <w:sym w:font="Wingdings" w:char="f078"/>
            </w:r>
            <w:r>
              <w:rPr/>
              <w:t>Public</w:t>
              <w:tab/>
            </w:r>
            <w:r>
              <w:rPr>
                <w:rFonts w:cs="Wingdings" w:ascii="Wingdings" w:hAnsi="Wingdings"/>
              </w:rPr>
              <w:sym w:font="Wingdings" w:char="f070"/>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5130" w:type="dxa"/>
            <w:tcBorders>
              <w:top w:val="single" w:sz="8" w:space="0" w:color="000000"/>
              <w:bottom w:val="single" w:sz="8" w:space="0" w:color="000000"/>
            </w:tcBorders>
          </w:tcPr>
          <w:p>
            <w:pPr>
              <w:pStyle w:val="Normal"/>
              <w:ind w:firstLine="90" w:start="-198" w:end="-738"/>
              <w:rPr/>
            </w:pPr>
            <w:r>
              <w:rPr/>
              <w:t>Date DASH Completed:  3/27/01</w:t>
            </w:r>
          </w:p>
          <w:p>
            <w:pPr>
              <w:pStyle w:val="Normal"/>
              <w:ind w:firstLine="90" w:start="-198" w:end="-1095"/>
              <w:rPr/>
            </w:pPr>
            <w:r>
              <w:rPr/>
              <w:t>RAC Analyst:  Tracy Ngo</w:t>
            </w:r>
          </w:p>
          <w:p>
            <w:pPr>
              <w:pStyle w:val="Normal"/>
              <w:ind w:firstLine="90" w:start="-198" w:end="-738"/>
              <w:rPr/>
            </w:pPr>
            <w:r>
              <w:rPr/>
              <w:t>Investment Type:  N/A</w:t>
            </w:r>
          </w:p>
          <w:p>
            <w:pPr>
              <w:pStyle w:val="Normal"/>
              <w:ind w:firstLine="90" w:start="-198" w:end="-738"/>
              <w:rPr/>
            </w:pPr>
            <w:r>
              <w:rPr/>
              <w:t>Capital Funding Source(s): N/A</w:t>
            </w:r>
          </w:p>
          <w:p>
            <w:pPr>
              <w:pStyle w:val="Normal"/>
              <w:ind w:firstLine="90" w:start="-198" w:end="-738"/>
              <w:rPr/>
            </w:pPr>
            <w:r>
              <w:rPr/>
              <w:t>Expected Closing Date:  3/28/01</w:t>
            </w:r>
          </w:p>
          <w:p>
            <w:pPr>
              <w:pStyle w:val="Normal"/>
              <w:ind w:firstLine="90" w:start="-198" w:end="-738"/>
              <w:rPr/>
            </w:pPr>
            <w:r>
              <w:rPr/>
              <w:t>Expected Funding Date:  N/A</w:t>
            </w:r>
          </w:p>
          <w:p>
            <w:pPr>
              <w:pStyle w:val="Normal"/>
              <w:ind w:firstLine="90" w:start="-198" w:end="-738"/>
              <w:rPr/>
            </w:pPr>
            <w:r>
              <w:rPr/>
              <w:t xml:space="preserve">Board Approval: </w:t>
            </w:r>
            <w:r>
              <w:rPr>
                <w:rFonts w:cs="Wingdings" w:ascii="Wingdings" w:hAnsi="Wingdings"/>
              </w:rPr>
              <w:sym w:font="Wingdings" w:char="f078"/>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0"/>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2" w:color="000000"/>
        </w:pBdr>
        <w:tabs>
          <w:tab w:val="clear" w:pos="9990"/>
          <w:tab w:val="left" w:pos="10260" w:leader="none"/>
        </w:tabs>
        <w:rPr/>
      </w:pPr>
      <w:r>
        <w:rPr/>
        <w:t>APPROVAL AMOUNT REQUESTED ($ millions)</w:t>
      </w:r>
    </w:p>
    <w:p>
      <w:pPr>
        <w:pStyle w:val="Normal"/>
        <w:ind w:start="360" w:end="0"/>
        <w:rPr/>
      </w:pPr>
      <w:r>
        <w:rPr/>
      </w:r>
    </w:p>
    <w:p>
      <w:pPr>
        <w:pStyle w:val="Normal"/>
        <w:ind w:start="360" w:end="0"/>
        <w:rPr/>
      </w:pPr>
      <w:r>
        <w:rPr/>
        <w:t>Capital Commitment:</w:t>
        <w:tab/>
        <w:tab/>
        <w:tab/>
        <w:tab/>
        <w:t xml:space="preserve">    N/A</w:t>
      </w:r>
    </w:p>
    <w:p>
      <w:pPr>
        <w:pStyle w:val="Normal"/>
        <w:ind w:start="360" w:end="0"/>
        <w:rPr/>
      </w:pPr>
      <w:r>
        <w:rPr/>
        <w:t>Market Risk:</w:t>
        <w:tab/>
        <w:tab/>
        <w:tab/>
        <w:tab/>
        <w:tab/>
        <w:t>$114.5</w:t>
        <w:tab/>
        <w:t>($20.9 million overnight VAR over a 30-day liquidation period)</w:t>
      </w:r>
    </w:p>
    <w:p>
      <w:pPr>
        <w:pStyle w:val="Normal"/>
        <w:ind w:start="360" w:end="0"/>
        <w:rPr/>
      </w:pPr>
      <w:r>
        <w:rPr/>
        <w:t>Credit Risk associated with MTM</w:t>
        <w:tab/>
        <w:tab/>
        <w:t xml:space="preserve">$  18.5 </w:t>
        <w:tab/>
        <w:t>(assuming a BB+ investment grade rating</w:t>
      </w:r>
      <w:r>
        <w:rPr>
          <w:sz w:val="16"/>
        </w:rPr>
        <w:t>*</w:t>
      </w:r>
      <w:r>
        <w:rPr/>
        <w:t>)</w:t>
      </w:r>
    </w:p>
    <w:p>
      <w:pPr>
        <w:pStyle w:val="Normal"/>
        <w:ind w:start="360" w:end="0"/>
        <w:rPr/>
      </w:pPr>
      <w:r>
        <w:rPr/>
        <w:t>Credit Risk associated with receivables</w:t>
        <w:tab/>
        <w:tab/>
      </w:r>
      <w:r>
        <w:rPr>
          <w:u w:val="single"/>
        </w:rPr>
        <w:t>$  21.1</w:t>
      </w:r>
      <w:r>
        <w:rPr/>
        <w:t xml:space="preserve"> </w:t>
        <w:tab/>
        <w:t>(based on standard settlement terms)</w:t>
      </w:r>
    </w:p>
    <w:p>
      <w:pPr>
        <w:pStyle w:val="Heading8"/>
        <w:ind w:firstLine="360" w:start="0" w:end="0"/>
        <w:rPr/>
      </w:pPr>
      <w:r>
        <w:rPr/>
        <w:t>Total Risk Adjusted Capital:</w:t>
        <w:tab/>
        <w:tab/>
        <w:tab/>
        <w:t>$154.1</w:t>
      </w:r>
    </w:p>
    <w:p>
      <w:pPr>
        <w:pStyle w:val="Normal"/>
        <w:ind w:start="360" w:end="-36"/>
        <w:rPr/>
      </w:pPr>
      <w:r>
        <w:rPr/>
      </w:r>
    </w:p>
    <w:p>
      <w:pPr>
        <w:pStyle w:val="Normal"/>
        <w:ind w:start="360" w:end="-36"/>
        <w:rPr>
          <w:i/>
          <w:i/>
          <w:iCs/>
          <w:sz w:val="16"/>
        </w:rPr>
      </w:pPr>
      <w:r>
        <w:rPr>
          <w:i/>
          <w:iCs/>
          <w:sz w:val="16"/>
        </w:rPr>
        <w:t>*BB+ assumed credit rating based on CA regulatory uncertainties and lack of protective credit terms in contract</w:t>
      </w:r>
    </w:p>
    <w:p>
      <w:pPr>
        <w:pStyle w:val="Normal"/>
        <w:ind w:start="360" w:end="-36"/>
        <w:rPr>
          <w:i/>
          <w:i/>
          <w:iCs/>
          <w:sz w:val="16"/>
        </w:rPr>
      </w:pPr>
      <w:r>
        <w:rPr>
          <w:i/>
          <w:iCs/>
          <w:sz w:val="16"/>
        </w:rPr>
      </w:r>
    </w:p>
    <w:p>
      <w:pPr>
        <w:pStyle w:val="Heading1"/>
        <w:pBdr>
          <w:top w:val="single" w:sz="8" w:space="3" w:color="000000"/>
        </w:pBdr>
        <w:ind w:hanging="0" w:start="0" w:end="-36"/>
        <w:rPr/>
      </w:pPr>
      <w:r>
        <w:rPr/>
        <w:t>EXPOSURE SUMMARY ($ millions)</w:t>
      </w:r>
    </w:p>
    <w:p>
      <w:pPr>
        <w:pStyle w:val="Normal"/>
        <w:rPr/>
      </w:pPr>
      <w:r>
        <w:rPr/>
      </w:r>
    </w:p>
    <w:p>
      <w:pPr>
        <w:pStyle w:val="Heading6"/>
        <w:ind w:firstLine="720" w:start="0" w:end="0"/>
        <w:rPr>
          <w:u w:val="none"/>
        </w:rPr>
      </w:pPr>
      <w:r>
        <w:rPr>
          <w:u w:val="none"/>
        </w:rPr>
        <w:t>This Transaction:</w:t>
        <w:tab/>
        <w:tab/>
        <w:tab/>
        <w:t>$154.1</w:t>
      </w:r>
    </w:p>
    <w:p>
      <w:pPr>
        <w:pStyle w:val="Heading6"/>
        <w:ind w:firstLine="720" w:start="0" w:end="0"/>
        <w:rPr/>
      </w:pPr>
      <w:r>
        <w:rPr>
          <w:u w:val="none"/>
        </w:rPr>
        <w:t>Existing Portfolio 3/26/01:</w:t>
        <w:tab/>
        <w:tab/>
      </w:r>
      <w:r>
        <w:rPr/>
        <w:t>$    2.0</w:t>
      </w:r>
    </w:p>
    <w:p>
      <w:pPr>
        <w:pStyle w:val="Heading8"/>
        <w:ind w:firstLine="720" w:start="0" w:end="0"/>
        <w:rPr/>
      </w:pPr>
      <w:r>
        <w:rPr/>
        <w:t>Total:</w:t>
        <w:tab/>
        <w:tab/>
        <w:tab/>
        <w:tab/>
        <w:t>$156.1</w:t>
      </w:r>
    </w:p>
    <w:p>
      <w:pPr>
        <w:pStyle w:val="Header"/>
        <w:widowControl/>
        <w:tabs>
          <w:tab w:val="clear" w:pos="4320"/>
          <w:tab w:val="clear" w:pos="8640"/>
        </w:tabs>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rPr>
      </w:pPr>
      <w:r>
        <w:rPr>
          <w:i/>
        </w:rPr>
      </w:r>
    </w:p>
    <w:p>
      <w:pPr>
        <w:pStyle w:val="Normal"/>
        <w:rPr/>
      </w:pPr>
      <w:r>
        <w:rPr/>
        <w:t>EPMI has a put option expiring 3/28/01 to extend an existing transaction (Phase I) for an additional five years (Phase II).  Terms to Phases I and II are as follows:</w:t>
      </w:r>
    </w:p>
    <w:p>
      <w:pPr>
        <w:pStyle w:val="Normal"/>
        <w:rPr>
          <w:u w:val="single"/>
        </w:rPr>
      </w:pPr>
      <w:r>
        <w:rPr>
          <w:u w:val="single"/>
        </w:rPr>
      </w:r>
    </w:p>
    <w:p>
      <w:pPr>
        <w:pStyle w:val="Normal"/>
        <w:ind w:start="1440" w:end="0"/>
        <w:rPr/>
      </w:pPr>
      <w:r>
        <w:rPr>
          <w:u w:val="single"/>
        </w:rPr>
        <w:t>Existing Transaction - Phase I:</w:t>
      </w:r>
      <w:r>
        <w:rPr/>
        <w:tab/>
        <w:tab/>
      </w:r>
      <w:r>
        <w:rPr>
          <w:u w:val="single"/>
        </w:rPr>
        <w:t>Put Option - Phase II:</w:t>
      </w:r>
    </w:p>
    <w:p>
      <w:pPr>
        <w:pStyle w:val="Normal"/>
        <w:spacing w:lineRule="atLeast" w:line="240"/>
        <w:rPr>
          <w:color w:val="000000"/>
        </w:rPr>
      </w:pPr>
      <w:r>
        <w:rPr>
          <w:color w:val="000000"/>
        </w:rPr>
        <w:t>Term:</w:t>
        <w:tab/>
        <w:tab/>
        <w:t>2/24/01 to 3/31/01</w:t>
        <w:tab/>
        <w:tab/>
        <w:tab/>
        <w:t>4/01/01 to 3/31/06</w:t>
      </w:r>
    </w:p>
    <w:p>
      <w:pPr>
        <w:pStyle w:val="Normal"/>
        <w:spacing w:lineRule="atLeast" w:line="240"/>
        <w:rPr>
          <w:color w:val="000000"/>
        </w:rPr>
      </w:pPr>
      <w:r>
        <w:rPr>
          <w:color w:val="000000"/>
        </w:rPr>
        <w:t>Volume:</w:t>
        <w:tab/>
        <w:tab/>
        <w:t>200MW/h; on-peak 6X16</w:t>
        <w:tab/>
        <w:tab/>
        <w:tab/>
        <w:t>same</w:t>
      </w:r>
    </w:p>
    <w:p>
      <w:pPr>
        <w:pStyle w:val="Normal"/>
        <w:spacing w:lineRule="atLeast" w:line="240"/>
        <w:rPr>
          <w:color w:val="000000"/>
        </w:rPr>
      </w:pPr>
      <w:r>
        <w:rPr>
          <w:color w:val="000000"/>
        </w:rPr>
        <w:t>Product:</w:t>
        <w:tab/>
        <w:tab/>
        <w:t>CAISO Firm at NP-15</w:t>
        <w:tab/>
        <w:tab/>
        <w:tab/>
        <w:t>same</w:t>
      </w:r>
    </w:p>
    <w:p>
      <w:pPr>
        <w:pStyle w:val="Normal"/>
        <w:rPr>
          <w:color w:val="000000"/>
        </w:rPr>
      </w:pPr>
      <w:r>
        <w:rPr>
          <w:color w:val="000000"/>
        </w:rPr>
        <w:t>Pricing:</w:t>
        <w:tab/>
        <w:tab/>
        <w:t>$265/MWh</w:t>
        <w:tab/>
        <w:tab/>
        <w:tab/>
        <w:tab/>
        <w:t>$127/MWh; to be applied retroactively to Phase I</w:t>
      </w:r>
    </w:p>
    <w:p>
      <w:pPr>
        <w:pStyle w:val="Normal"/>
        <w:rPr>
          <w:color w:val="000000"/>
        </w:rPr>
      </w:pPr>
      <w:r>
        <w:rPr>
          <w:color w:val="000000"/>
        </w:rPr>
      </w:r>
    </w:p>
    <w:p>
      <w:pPr>
        <w:pStyle w:val="Normal"/>
        <w:rPr>
          <w:color w:val="000000"/>
        </w:rPr>
      </w:pPr>
      <w:r>
        <w:rPr>
          <w:color w:val="000000"/>
        </w:rPr>
        <w:t>Settlement:</w:t>
        <w:tab/>
        <w:t>rolling 7-day billing cycle</w:t>
        <w:tab/>
        <w:tab/>
        <w:tab/>
        <w:t>standard</w:t>
      </w:r>
    </w:p>
    <w:p>
      <w:pPr>
        <w:pStyle w:val="Normal"/>
        <w:rPr>
          <w:color w:val="000000"/>
        </w:rPr>
      </w:pPr>
      <w:r>
        <w:rPr>
          <w:color w:val="000000"/>
        </w:rPr>
        <w:tab/>
        <w:tab/>
        <w:tab/>
        <w:tab/>
        <w:tab/>
        <w:tab/>
      </w:r>
    </w:p>
    <w:p>
      <w:pPr>
        <w:pStyle w:val="Heading2"/>
        <w:widowControl/>
        <w:pBdr>
          <w:top w:val="single" w:sz="8" w:space="1" w:color="000000"/>
        </w:pBdr>
        <w:ind w:hanging="0" w:start="0" w:end="-36"/>
        <w:rPr>
          <w:i w:val="false"/>
          <w:i w:val="false"/>
        </w:rPr>
      </w:pPr>
      <w:r>
        <w:rPr>
          <w:i w:val="false"/>
        </w:rPr>
        <w:t>RETURN SUMMARY</w:t>
      </w:r>
    </w:p>
    <w:p>
      <w:pPr>
        <w:pStyle w:val="Normal"/>
        <w:rPr>
          <w:i/>
          <w:i/>
        </w:rPr>
      </w:pPr>
      <w:r>
        <w:rPr>
          <w:i/>
        </w:rPr>
      </w:r>
    </w:p>
    <w:p>
      <w:pPr>
        <w:pStyle w:val="Normal"/>
        <w:rPr/>
      </w:pPr>
      <w:r>
        <w:rPr/>
        <w:t>$52,287,752 MTM value based on NP-15 mid-curve as of 3/26/01 (gross revenues of $548,759,669 at $127/MWh)</w:t>
      </w:r>
    </w:p>
    <w:p>
      <w:pPr>
        <w:pStyle w:val="Normal"/>
        <w:rPr/>
      </w:pPr>
      <w:r>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rPr>
          <w:b/>
          <w:i/>
          <w:i/>
        </w:rPr>
      </w:pPr>
      <w:r>
        <w:rPr>
          <w:b/>
          <w:i/>
        </w:rPr>
      </w:r>
    </w:p>
    <w:p>
      <w:pPr>
        <w:pStyle w:val="Normal"/>
        <w:numPr>
          <w:ilvl w:val="0"/>
          <w:numId w:val="2"/>
        </w:numPr>
        <w:rPr/>
      </w:pPr>
      <w:r>
        <w:rPr/>
        <w:t>Special Termination Right: EPMI has a unilateral right to terminate the transaction and agreement (</w:t>
      </w:r>
      <w:r>
        <w:rPr>
          <w:i/>
          <w:iCs/>
        </w:rPr>
        <w:t>without either Party being entitled to any Termination Payment</w:t>
      </w:r>
      <w:r>
        <w:rPr/>
        <w:t>) at any time on or prior to (i) 9/30/01 or (ii) seven days after the date on which DWR either (a) issues bonds with an investment grade credit rating and in a minimum aggregate principal of $2 billion or (b) secures an investment grade rating exhibiting DWR’s ability to satisfy all obligations of procured power.  This walk-away clause enables EPMI to unilaterally terminate this transaction without any limit whatsoever, including but not limited to credit and regulatory risks.</w:t>
      </w:r>
    </w:p>
    <w:p>
      <w:pPr>
        <w:pStyle w:val="Header"/>
        <w:widowControl/>
        <w:tabs>
          <w:tab w:val="clear" w:pos="4320"/>
          <w:tab w:val="clear" w:pos="8640"/>
        </w:tabs>
        <w:rPr/>
      </w:pPr>
      <w:r>
        <w:rPr/>
      </w:r>
    </w:p>
    <w:p>
      <w:pPr>
        <w:pStyle w:val="Normal"/>
        <w:numPr>
          <w:ilvl w:val="0"/>
          <w:numId w:val="2"/>
        </w:numPr>
        <w:rPr>
          <w:i/>
          <w:i/>
          <w:iCs/>
        </w:rPr>
      </w:pPr>
      <w:r>
        <w:rPr/>
        <w:t>Regulatory-Out Clause with Termination Payment should a Material Regulatory Change occur within California state or local law that results in (i) a material adverse effect upon DWR’s ability to satisfy its obligations to pay for power supplied or to be supplied under this transaction or any other power purchase agreement or (ii) the performance of either party of its obligations under this transaction to become illegal or unenforceable</w:t>
      </w:r>
      <w:r>
        <w:rPr>
          <w:i/>
          <w:iCs/>
        </w:rPr>
        <w:t>.  {See also Legal Risk Memorandum for further information}</w:t>
      </w:r>
      <w:r>
        <w:br w:type="page"/>
      </w:r>
    </w:p>
    <w:p>
      <w:pPr>
        <w:pStyle w:val="Header"/>
        <w:widowControl/>
        <w:tabs>
          <w:tab w:val="clear" w:pos="4320"/>
          <w:tab w:val="clear" w:pos="8640"/>
        </w:tabs>
        <w:rPr>
          <w:i/>
          <w:i/>
          <w:iCs/>
        </w:rPr>
      </w:pPr>
      <w:r>
        <w:rPr>
          <w:i/>
          <w:iCs/>
        </w:rPr>
      </w:r>
    </w:p>
    <w:p>
      <w:pPr>
        <w:pStyle w:val="Heading2"/>
        <w:widowControl/>
        <w:pBdr>
          <w:top w:val="single" w:sz="8" w:space="1" w:color="000000"/>
        </w:pBdr>
        <w:ind w:hanging="0" w:start="0" w:end="-36"/>
        <w:rPr>
          <w:i w:val="false"/>
          <w:i w:val="false"/>
        </w:rPr>
      </w:pPr>
      <w:r>
        <w:rPr>
          <w:i w:val="false"/>
        </w:rPr>
        <w:t xml:space="preserve">RISK MATRIX </w:t>
      </w:r>
    </w:p>
    <w:p>
      <w:pPr>
        <w:pStyle w:val="Normal"/>
        <w:rPr>
          <w:i/>
          <w:i/>
        </w:rPr>
      </w:pPr>
      <w:r>
        <w:rPr>
          <w:i/>
        </w:rPr>
      </w:r>
    </w:p>
    <w:tbl>
      <w:tblPr>
        <w:tblW w:w="9990" w:type="dxa"/>
        <w:jc w:val="start"/>
        <w:tblInd w:w="378" w:type="dxa"/>
        <w:tblLayout w:type="fixed"/>
        <w:tblCellMar>
          <w:top w:w="0" w:type="dxa"/>
          <w:start w:w="108" w:type="dxa"/>
          <w:bottom w:w="0" w:type="dxa"/>
          <w:end w:w="108" w:type="dxa"/>
        </w:tblCellMar>
      </w:tblPr>
      <w:tblGrid>
        <w:gridCol w:w="4230"/>
        <w:gridCol w:w="5760"/>
      </w:tblGrid>
      <w:tr>
        <w:trPr/>
        <w:tc>
          <w:tcPr>
            <w:tcW w:w="423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7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rPr/>
            </w:pPr>
            <w:r>
              <w:rPr/>
              <w:t>Market Risk- short position of 4.3 million MWh in California.</w:t>
            </w:r>
          </w:p>
        </w:tc>
        <w:tc>
          <w:tcPr>
            <w:tcW w:w="5760" w:type="dxa"/>
            <w:tcBorders>
              <w:top w:val="single" w:sz="6" w:space="0" w:color="000000"/>
              <w:start w:val="single" w:sz="6" w:space="0" w:color="000000"/>
              <w:bottom w:val="single" w:sz="6" w:space="0" w:color="000000"/>
              <w:end w:val="single" w:sz="6" w:space="0" w:color="000000"/>
            </w:tcBorders>
          </w:tcPr>
          <w:p>
            <w:pPr>
              <w:pStyle w:val="Normal"/>
              <w:jc w:val="both"/>
              <w:rPr/>
            </w:pPr>
            <w:r>
              <w:rPr/>
              <w:t>Transaction reduces total West Desk VAR by $15.1 million.</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rPr/>
            </w:pPr>
            <w:r>
              <w:rPr/>
              <w:t>Credit Risk-  DWR’s creditworthiness is highly contingent upon its long-term ability to establish sufficient revenue requirements (via California Procurement Adjustment or “CPA” representing the ‘headroom’ within the generation component of retail electric rates after accounting for IOUs cost of generation and qualifying facility contracts) in order to satisfy any obligations resulting from power procurement and bond issuances.</w:t>
            </w:r>
          </w:p>
          <w:p>
            <w:pPr>
              <w:pStyle w:val="Normal"/>
              <w:rPr/>
            </w:pPr>
            <w:r>
              <w:rPr/>
            </w:r>
          </w:p>
          <w:p>
            <w:pPr>
              <w:pStyle w:val="Normal"/>
              <w:rPr/>
            </w:pPr>
            <w:r>
              <w:rPr/>
            </w:r>
          </w:p>
          <w:p>
            <w:pPr>
              <w:pStyle w:val="Normal"/>
              <w:rPr/>
            </w:pPr>
            <w:r>
              <w:rPr/>
              <w:t>This transaction will be confirmed under a new EEI Master Power Purchase and Sale Agreement without key protective credit terms such as the ability to obtain collateral margin or other performance assurance, set-off rights, third-party cross-default provisions, or any guaranty support/assurances from the State of California.</w:t>
            </w:r>
          </w:p>
          <w:p>
            <w:pPr>
              <w:pStyle w:val="Normal"/>
              <w:rPr/>
            </w:pPr>
            <w:r>
              <w:rPr/>
              <w:t>Should a Termination Payment be due to Non-Defaulting Party, Defaulting Party shall pay Termination Payment no later than 180 days.</w:t>
            </w:r>
          </w:p>
        </w:tc>
        <w:tc>
          <w:tcPr>
            <w:tcW w:w="5760" w:type="dxa"/>
            <w:tcBorders>
              <w:top w:val="single" w:sz="6" w:space="0" w:color="000000"/>
              <w:start w:val="single" w:sz="6" w:space="0" w:color="000000"/>
              <w:bottom w:val="single" w:sz="6" w:space="0" w:color="000000"/>
              <w:end w:val="single" w:sz="6" w:space="0" w:color="000000"/>
            </w:tcBorders>
          </w:tcPr>
          <w:p>
            <w:pPr>
              <w:pStyle w:val="Normal"/>
              <w:jc w:val="both"/>
              <w:rPr/>
            </w:pPr>
            <w:r>
              <w:rPr/>
              <w:t>DWR Repayment risk will be mitigated by an expected, acceptable Final Order from CPUC establishing appropriate mechanism whereby DWR will request and receive justifiable increases in retail rates on an as needed basis from the CPUC.  Acceptable Final Order must also include (i) sufficient details to allocation method for IOU’s and DWR, (ii) clarification as to whether CPA will be a fixed rate component of rate base or a periodically changing rate component, and (iii) assurance that DWR will receive necessary rate increases notwithstanding future viability of any relevant components affecting CPA allocation including but not limited to bankruptcies of IOUs.</w:t>
            </w:r>
          </w:p>
          <w:p>
            <w:pPr>
              <w:pStyle w:val="Normal"/>
              <w:jc w:val="both"/>
              <w:rPr/>
            </w:pPr>
            <w:r>
              <w:rPr/>
            </w:r>
          </w:p>
          <w:p>
            <w:pPr>
              <w:pStyle w:val="Normal"/>
              <w:jc w:val="both"/>
              <w:rPr/>
            </w:pPr>
            <w:r>
              <w:rPr/>
              <w:t>Although transaction/master agreement does not have standard credit provisions to capture increases in market risks and deterioration in credit quality, master agreement will include Regulatory Out Clause with a Termination Payment and allow EPMI to receive shortened 7-day billing cycle on power deliveries should any of DWR’s electric revenue bonds or stand-alone Fund Rating fall below investment grade by Moody’s or S&amp;P (covenant in master agreement that DWR will use reasonable commercial efforts to secure a rating for the Fund from both rating agencies should DWR fail to issue bonds).  Power suppliers will also have a senior position to DWR’s cash flow relative to any issued bonds, notes or other indebtedness.  DWR to provide similar payment/credit terms to all energy suppliers thus establishing fair treatment.</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rPr>
                <w:color w:val="FF0000"/>
              </w:rPr>
            </w:pPr>
            <w:r>
              <w:rPr>
                <w:color w:val="FF0000"/>
              </w:rPr>
              <w:t xml:space="preserve">Legal Risk- </w:t>
            </w:r>
            <w:r>
              <w:rPr>
                <w:i/>
                <w:iCs/>
                <w:color w:val="FF0000"/>
              </w:rPr>
              <w:t>See Attached Legal Risk Memo</w:t>
            </w:r>
          </w:p>
        </w:tc>
        <w:tc>
          <w:tcPr>
            <w:tcW w:w="5760" w:type="dxa"/>
            <w:tcBorders>
              <w:top w:val="single" w:sz="6" w:space="0" w:color="000000"/>
              <w:start w:val="single" w:sz="6" w:space="0" w:color="000000"/>
              <w:bottom w:val="single" w:sz="6" w:space="0" w:color="000000"/>
              <w:end w:val="single" w:sz="6" w:space="0" w:color="000000"/>
            </w:tcBorders>
          </w:tcPr>
          <w:p>
            <w:pPr>
              <w:pStyle w:val="Normal"/>
              <w:jc w:val="both"/>
              <w:rPr>
                <w:i/>
                <w:i/>
                <w:iCs/>
                <w:color w:val="FF0000"/>
              </w:rPr>
            </w:pPr>
            <w:r>
              <w:rPr>
                <w:i/>
                <w:iCs/>
                <w:color w:val="FF0000"/>
              </w:rPr>
              <w:t>See Attached Legal Risk Memo</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rPr>
                <w:color w:val="FF0000"/>
              </w:rPr>
            </w:pPr>
            <w:r>
              <w:rPr>
                <w:color w:val="FF0000"/>
              </w:rPr>
              <w:t xml:space="preserve">Regulatory Risk- </w:t>
            </w:r>
          </w:p>
        </w:tc>
        <w:tc>
          <w:tcPr>
            <w:tcW w:w="5760" w:type="dxa"/>
            <w:tcBorders>
              <w:top w:val="single" w:sz="6" w:space="0" w:color="000000"/>
              <w:start w:val="single" w:sz="6" w:space="0" w:color="000000"/>
              <w:bottom w:val="single" w:sz="6" w:space="0" w:color="000000"/>
              <w:end w:val="single" w:sz="6" w:space="0" w:color="000000"/>
            </w:tcBorders>
          </w:tcPr>
          <w:p>
            <w:pPr>
              <w:pStyle w:val="Normal"/>
              <w:jc w:val="both"/>
              <w:rPr>
                <w:i/>
                <w:i/>
                <w:iCs/>
                <w:color w:val="FF0000"/>
              </w:rPr>
            </w:pPr>
            <w:r>
              <w:rPr>
                <w:i/>
                <w:iCs/>
                <w:color w:val="FF0000"/>
              </w:rPr>
              <w:t>Waiting on info from Jim Steffes</w:t>
            </w:r>
          </w:p>
        </w:tc>
      </w:tr>
    </w:tbl>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ind w:start="1782" w:end="-288"/>
              <w:jc w:val="center"/>
              <w:rPr/>
            </w:pPr>
            <w:r>
              <w:rPr/>
              <w:t xml:space="preserve">                 </w:t>
            </w:r>
            <w:r>
              <w:rPr/>
              <w:t>X</w:t>
            </w:r>
          </w:p>
        </w:tc>
        <w:tc>
          <w:tcPr>
            <w:tcW w:w="2430" w:type="dxa"/>
            <w:tcBorders>
              <w:bottom w:val="single" w:sz="4" w:space="0" w:color="000000"/>
              <w:end w:val="single" w:sz="4" w:space="0" w:color="000000"/>
            </w:tcBorders>
          </w:tcPr>
          <w:p>
            <w:pPr>
              <w:pStyle w:val="Normal"/>
              <w:rPr/>
            </w:pPr>
            <w:r>
              <w:rPr/>
              <w:t xml:space="preserve">              </w:t>
            </w:r>
          </w:p>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ind w:start="1782" w:end="0"/>
              <w:jc w:val="center"/>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ind w:start="972" w:end="0"/>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ind w:start="972" w:end="0"/>
              <w:rPr/>
            </w:pPr>
            <w:r>
              <w:rPr/>
            </w:r>
          </w:p>
        </w:tc>
      </w:tr>
    </w:tbl>
    <w:p>
      <w:pPr>
        <w:pStyle w:val="Header"/>
        <w:widowControl/>
        <w:tabs>
          <w:tab w:val="clear" w:pos="4320"/>
          <w:tab w:val="clear" w:pos="8640"/>
        </w:tabs>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rPr>
      </w:pPr>
      <w:r>
        <w:rPr>
          <w:b/>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70"/>
        <w:gridCol w:w="1080"/>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70" w:type="dxa"/>
            <w:tcBorders>
              <w:top w:val="single" w:sz="4" w:space="0" w:color="000000"/>
            </w:tcBorders>
            <w:vAlign w:val="bottom"/>
          </w:tcPr>
          <w:p>
            <w:pPr>
              <w:pStyle w:val="Normal"/>
              <w:keepNext w:val="true"/>
              <w:snapToGrid w:val="false"/>
              <w:jc w:val="center"/>
              <w:rPr>
                <w:b/>
              </w:rPr>
            </w:pPr>
            <w:r>
              <w:rPr>
                <w:b/>
              </w:rPr>
            </w:r>
          </w:p>
        </w:tc>
        <w:tc>
          <w:tcPr>
            <w:tcW w:w="1080"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ENA Origination</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Chris Calger</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West Desk</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Tim Belden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NA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John Lavorato/Louise Kitchen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Wholesale Services</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Frevert</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Buy/Bill Bradford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Ken Lay/Jeffrey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70" w:type="dxa"/>
            <w:tcBorders/>
          </w:tcPr>
          <w:p>
            <w:pPr>
              <w:pStyle w:val="Normal"/>
              <w:snapToGrid w:val="false"/>
              <w:spacing w:before="120" w:after="0"/>
              <w:rPr/>
            </w:pPr>
            <w:r>
              <w:rPr/>
            </w:r>
          </w:p>
        </w:tc>
        <w:tc>
          <w:tcPr>
            <w:tcW w:w="1080" w:type="dxa"/>
            <w:tcBorders>
              <w:top w:val="single" w:sz="6" w:space="0" w:color="000000"/>
              <w:bottom w:val="single" w:sz="6" w:space="0" w:color="000000"/>
            </w:tcBorders>
          </w:tcPr>
          <w:p>
            <w:pPr>
              <w:pStyle w:val="Normal"/>
              <w:snapToGrid w:val="false"/>
              <w:spacing w:before="120" w:after="0"/>
              <w:rPr/>
            </w:pPr>
            <w:r>
              <w:rPr/>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008" w:right="81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/mnt/main-storage/datasets/enron-docs/doc/DWR_Dash032601_revised.doc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DWR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ind w:hanging="0" w:start="360" w:end="0"/>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5z0">
    <w:name w:val="WW8Num5z0"/>
    <w:qFormat/>
    <w:rPr/>
  </w:style>
  <w:style w:type="character" w:styleId="WW8Num6z0">
    <w:name w:val="WW8Num6z0"/>
    <w:qFormat/>
    <w:rPr>
      <w:b w:val="false"/>
      <w:i w:val="false"/>
    </w:rPr>
  </w:style>
  <w:style w:type="character" w:styleId="WW8Num7z0">
    <w:name w:val="WW8Num7z0"/>
    <w:qFormat/>
    <w:rPr/>
  </w:style>
  <w:style w:type="character" w:styleId="WW8Num8z0">
    <w:name w:val="WW8Num8z0"/>
    <w:qFormat/>
    <w:rPr>
      <w:b w:val="false"/>
      <w:i w:val="false"/>
    </w:rPr>
  </w:style>
  <w:style w:type="character" w:styleId="WW8Num11z0">
    <w:name w:val="WW8Num11z0"/>
    <w:qFormat/>
    <w:rPr>
      <w:rFonts w:ascii="Wingdings" w:hAnsi="Wingdings" w:cs="Wingdings"/>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5z0">
    <w:name w:val="WW8Num15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270" w:end="522"/>
      <w:jc w:val="both"/>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2001-03-27T18:00:00Z</dcterms:created>
  <dc:creator>mruane</dc:creator>
  <dc:description>MR: 9-20-99 added tax signoff</dc:description>
  <dc:language>en-CA</dc:language>
  <cp:lastModifiedBy>tngo</cp:lastModifiedBy>
  <cp:lastPrinted>2001-03-27T15:27:00Z</cp:lastPrinted>
  <dcterms:modified xsi:type="dcterms:W3CDTF">2001-03-27T20:57:00Z</dcterms:modified>
  <cp:revision>11</cp:revision>
  <dc:subject/>
  <dc:title>ENRON RISK ASSESSMENT AND CONTROL</dc:title>
</cp:coreProperties>
</file>