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Comments on the DWR Signed Contracts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Summary: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3"/>
        </w:numPr>
        <w:rPr/>
      </w:pPr>
      <w:r>
        <w:rPr/>
        <w:t>92% of the energy comes from eight suppliers.</w:t>
      </w:r>
    </w:p>
    <w:p>
      <w:pPr>
        <w:pStyle w:val="Normal"/>
        <w:ind w:start="2160" w:end="0"/>
        <w:rPr/>
      </w:pPr>
      <w:r>
        <w:rPr/>
        <w:t>Allegheny</w:t>
        <w:tab/>
        <w:tab/>
        <w:t>Calpine</w:t>
      </w:r>
    </w:p>
    <w:p>
      <w:pPr>
        <w:pStyle w:val="Normal"/>
        <w:ind w:start="2160" w:end="0"/>
        <w:rPr/>
      </w:pPr>
      <w:r>
        <w:rPr/>
        <w:t>Coral</w:t>
        <w:tab/>
        <w:tab/>
        <w:tab/>
        <w:t>Dynegy</w:t>
      </w:r>
    </w:p>
    <w:p>
      <w:pPr>
        <w:pStyle w:val="Normal"/>
        <w:ind w:start="2160" w:end="0"/>
        <w:rPr/>
      </w:pPr>
      <w:r>
        <w:rPr/>
        <w:t>High Desert</w:t>
        <w:tab/>
        <w:tab/>
        <w:t>Mirant</w:t>
      </w:r>
    </w:p>
    <w:p>
      <w:pPr>
        <w:pStyle w:val="Normal"/>
        <w:ind w:start="2160" w:end="0"/>
        <w:rPr/>
      </w:pPr>
      <w:r>
        <w:rPr/>
        <w:t>Sempra</w:t>
        <w:tab/>
        <w:tab/>
        <w:t>Williams</w:t>
      </w:r>
    </w:p>
    <w:p>
      <w:pPr>
        <w:pStyle w:val="Normal"/>
        <w:ind w:start="360" w:end="0"/>
        <w:rPr/>
      </w:pPr>
      <w:r>
        <w:rPr/>
      </w:r>
    </w:p>
    <w:p>
      <w:pPr>
        <w:pStyle w:val="BodyTextIndent2"/>
        <w:rPr/>
      </w:pPr>
      <w:r>
        <w:rPr/>
        <w:t>Of the eight suppliers, 75% of the energy is provided by: Allegheny (1,000MW), Calpine (2,495MW), High Desert (840MW) and Sempra (1,350 to 1,900)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Most of the arrangements are costly, ranging from a low of $58/MWH to $249/MWH.  Certain costs associated with the purchase were not included and will be borne by DWR:</w:t>
      </w:r>
    </w:p>
    <w:p>
      <w:pPr>
        <w:pStyle w:val="Normal"/>
        <w:numPr>
          <w:ilvl w:val="1"/>
          <w:numId w:val="3"/>
        </w:numPr>
        <w:rPr/>
      </w:pPr>
      <w:r>
        <w:rPr/>
        <w:t>In most instances, costs associated with ancillary services and the ISO;</w:t>
      </w:r>
    </w:p>
    <w:p>
      <w:pPr>
        <w:pStyle w:val="Normal"/>
        <w:numPr>
          <w:ilvl w:val="1"/>
          <w:numId w:val="3"/>
        </w:numPr>
        <w:rPr/>
      </w:pPr>
      <w:r>
        <w:rPr/>
        <w:t>In some instances, emission costs or a portion of the environmental upgrades; and</w:t>
      </w:r>
    </w:p>
    <w:p>
      <w:pPr>
        <w:pStyle w:val="Normal"/>
        <w:numPr>
          <w:ilvl w:val="1"/>
          <w:numId w:val="3"/>
        </w:numPr>
        <w:rPr/>
      </w:pPr>
      <w:r>
        <w:rPr/>
        <w:t>In some instances, the costs associated with any new energy-specific taxes.</w:t>
      </w:r>
    </w:p>
    <w:p>
      <w:pPr>
        <w:pStyle w:val="BodyTextIndent2"/>
        <w:rPr/>
      </w:pPr>
      <w:r>
        <w:rPr/>
        <w:t>Some contracts provide for capacity ($20 to $31/MWH –or- $150 to $250/kw-yr), with associated energy priced separately.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Problematic provisions which give sellers priority access to the DWR Fund and apparently, ahead of the DWR bond payments.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Termination if no bond sale by 7/31/01 or later in the year, at the discretion of the seller.  Several others can terminate if payment assurances or bond ratings inadequate.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Most of the agreements can be assigned with mutual consent.  The State can  assign to another state agency of comparable credit worthiness, without the consent of the seller.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Most of the contracts have provisions whereby if the contract was terminated early, there is a calculation of a Termination Payment.  This payment represents the net present market value of the contract compared to a minimum of three market quotes for a similar product.</w:t>
      </w:r>
    </w:p>
    <w:p>
      <w:pPr>
        <w:pStyle w:val="Foot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Vast majority of the purchases are either 7x24 or 6x16 power deliveries.  Only a small portion of the signed agreements are dispatchable</w:t>
      </w:r>
      <w:r>
        <w:br w:type="page"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A few of the signed contracts have dispatchable or procurement options associated with them.  These include: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Calpine has dispatchable feature associated with up to 495MW</w:t>
      </w:r>
    </w:p>
    <w:p>
      <w:pPr>
        <w:pStyle w:val="Normal"/>
        <w:numPr>
          <w:ilvl w:val="0"/>
          <w:numId w:val="2"/>
        </w:numPr>
        <w:rPr/>
      </w:pPr>
      <w:r>
        <w:rPr/>
        <w:t>Coral has a 350MW of optional capacity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Dynegy has 1,000 MW of dispatchable capacity 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Alliance has 80MW of dispatchable capacity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Some of the contracts have provisions whereby DWR deems the agreements are “just and reasonable” and waives their rights to file under sections 205 and 206 of the FPA.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 xml:space="preserve">Using DWR load assumptions and assuming all contracts signed (including Agreements in Principle totally about 4,500MW), the State is nearly fully resourced (no net-short) on an </w:t>
      </w:r>
      <w:r>
        <w:rPr>
          <w:u w:val="single"/>
        </w:rPr>
        <w:t>energy basis</w:t>
      </w:r>
      <w:r>
        <w:rPr/>
        <w:t xml:space="preserve"> for 2003 and 2004.</w:t>
      </w:r>
    </w:p>
    <w:p>
      <w:pPr>
        <w:pStyle w:val="Normal"/>
        <w:numPr>
          <w:ilvl w:val="0"/>
          <w:numId w:val="4"/>
        </w:numPr>
        <w:rPr/>
      </w:pPr>
      <w:r>
        <w:rPr/>
        <w:t>Energy basis means there continues to be a need for capacity (generation or load mgn’t) during peak hours, with some excess energy during off-peak hours</w:t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800" w:right="180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.05pt;mso-position-vertical-relative:text;margin-left:213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>Draft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  <w:lvl w:ilvl="1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1">
    <w:name w:val="WW8Num4z1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pPr/>
    <w:rPr>
      <w:i/>
      <w:iCs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>
      <w:autoSpaceDE w:val="false"/>
      <w:spacing w:lineRule="atLeast" w:line="240"/>
    </w:pPr>
    <w:rPr>
      <w:color w:val="000000"/>
      <w:szCs w:val="20"/>
      <w:u w:val="single"/>
    </w:rPr>
  </w:style>
  <w:style w:type="paragraph" w:styleId="BodyTextIndent">
    <w:name w:val="Body Text Indent"/>
    <w:basedOn w:val="Normal"/>
    <w:pPr>
      <w:ind w:hanging="0" w:start="720" w:end="0"/>
    </w:pPr>
    <w:rPr>
      <w:i/>
      <w:iCs/>
    </w:rPr>
  </w:style>
  <w:style w:type="paragraph" w:styleId="BodyTextIndent2">
    <w:name w:val="Body Text Indent 2"/>
    <w:basedOn w:val="Normal"/>
    <w:qFormat/>
    <w:pPr>
      <w:ind w:hanging="0" w:start="720" w:end="0"/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360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2001-06-18T18:52:00Z</dcterms:created>
  <dc:creator>Valued Gateway Client</dc:creator>
  <dc:description/>
  <dc:language>en-CA</dc:language>
  <cp:lastModifiedBy>Gary S.</cp:lastModifiedBy>
  <cp:lastPrinted>2001-06-19T09:30:00Z</cp:lastPrinted>
  <dcterms:modified xsi:type="dcterms:W3CDTF">2001-06-19T14:10:00Z</dcterms:modified>
  <cp:revision>11</cp:revision>
  <dc:subject/>
  <dc:title>Comments on the DWR Contracts</dc:title>
</cp:coreProperties>
</file>