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numPr>
          <w:ilvl w:val="0"/>
          <w:numId w:val="0"/>
        </w:numPr>
        <w:spacing w:before="0" w:after="240"/>
        <w:ind w:hanging="0" w:start="0"/>
        <w:jc w:val="both"/>
        <w:rPr/>
      </w:pPr>
      <w:bookmarkStart w:id="0" w:name="_DV_M0"/>
      <w:bookmarkEnd w:id="0"/>
      <w:r>
        <w:rPr>
          <w:i w:val="false"/>
          <w:iCs w:val="false"/>
          <w:vanish/>
          <w:color w:val="0000FF"/>
          <w:kern w:val="0"/>
          <w:sz w:val="32"/>
          <w:szCs w:val="32"/>
          <w:u w:val="none"/>
        </w:rPr>
        <w:t xml:space="preserve">THIS DOCUMENT IS FORMATTED TO AUTOMATICALLY UPDATE THE TABLE OF CONTENTS FOR HEADINGS 1 AND 2.  </w:t>
      </w:r>
      <w:r>
        <w:rPr>
          <w:i w:val="false"/>
          <w:iCs w:val="false"/>
          <w:vanish/>
          <w:color w:val="FF0000"/>
          <w:kern w:val="0"/>
          <w:sz w:val="32"/>
          <w:szCs w:val="32"/>
          <w:u w:val="none"/>
        </w:rPr>
        <w:t xml:space="preserve">DO NOT DELETE </w:t>
      </w:r>
      <w:r>
        <w:rPr>
          <w:i w:val="false"/>
          <w:iCs w:val="false"/>
          <w:vanish/>
          <w:color w:val="0000FF"/>
          <w:kern w:val="0"/>
          <w:sz w:val="32"/>
          <w:szCs w:val="32"/>
          <w:u w:val="none"/>
        </w:rPr>
        <w:t>THE HIDDEN PARAGRAPH MARKERS IN HEADINGS 1 AND 2.  TO VIEW DOCUMENT AS IT WILL BE PRINTED LOOK IN PRINT PREVIEW.  TO UPDATE TABLE OF CONTENTS PRESS F9.</w:t>
      </w:r>
    </w:p>
    <w:p>
      <w:pPr>
        <w:pStyle w:val="Normal"/>
        <w:jc w:val="center"/>
        <w:rPr>
          <w:b/>
          <w:bCs/>
          <w:color w:val="000000"/>
        </w:rPr>
      </w:pPr>
      <w:bookmarkStart w:id="1" w:name="_DV_M1"/>
      <w:bookmarkEnd w:id="1"/>
      <w:r>
        <w:rPr>
          <w:b/>
          <w:bCs/>
          <w:color w:val="000000"/>
        </w:rPr>
        <w:t>KIODEX, INC.</w:t>
      </w:r>
    </w:p>
    <w:p>
      <w:pPr>
        <w:pStyle w:val="Normal"/>
        <w:spacing w:before="360" w:after="0"/>
        <w:jc w:val="center"/>
        <w:rPr>
          <w:color w:val="000000"/>
        </w:rPr>
      </w:pPr>
      <w:bookmarkStart w:id="2" w:name="_DV_M2"/>
      <w:bookmarkEnd w:id="2"/>
      <w:r>
        <w:rPr>
          <w:color w:val="000000"/>
        </w:rPr>
        <w:t>______________________</w:t>
      </w:r>
    </w:p>
    <w:p>
      <w:pPr>
        <w:pStyle w:val="Normal"/>
        <w:spacing w:before="360" w:after="0"/>
        <w:jc w:val="center"/>
        <w:rPr>
          <w:color w:val="000000"/>
        </w:rPr>
      </w:pPr>
      <w:bookmarkStart w:id="3" w:name="_DV_M3"/>
      <w:bookmarkEnd w:id="3"/>
      <w:r>
        <w:rPr>
          <w:color w:val="000000"/>
        </w:rPr>
        <w:t>Common Stock Purchase Agreement</w:t>
      </w:r>
    </w:p>
    <w:p>
      <w:pPr>
        <w:pStyle w:val="Normal"/>
        <w:spacing w:before="360" w:after="0"/>
        <w:jc w:val="center"/>
        <w:rPr>
          <w:color w:val="000000"/>
        </w:rPr>
      </w:pPr>
      <w:bookmarkStart w:id="4" w:name="_DV_M4"/>
      <w:bookmarkEnd w:id="4"/>
      <w:r>
        <w:rPr>
          <w:color w:val="000000"/>
        </w:rPr>
        <w:t>______________________</w:t>
      </w:r>
    </w:p>
    <w:p>
      <w:pPr>
        <w:pStyle w:val="Normal"/>
        <w:spacing w:before="360" w:after="0"/>
        <w:jc w:val="center"/>
        <w:rPr/>
      </w:pPr>
      <w:r>
        <w:rPr>
          <w:color w:val="000000"/>
          <w:u w:val="single"/>
        </w:rPr>
        <w:t xml:space="preserve"> </w:t>
      </w:r>
      <w:bookmarkStart w:id="5" w:name="_DV_C5"/>
      <w:r>
        <w:rPr>
          <w:rStyle w:val="DeltaViewInsertion"/>
        </w:rPr>
        <w:t>__________</w:t>
      </w:r>
      <w:bookmarkStart w:id="6" w:name="_DV_M5"/>
      <w:bookmarkEnd w:id="5"/>
      <w:bookmarkEnd w:id="6"/>
      <w:r>
        <w:rPr>
          <w:color w:val="000000"/>
        </w:rPr>
        <w:t>__, 2001</w:t>
      </w:r>
    </w:p>
    <w:p>
      <w:pPr>
        <w:sectPr>
          <w:headerReference w:type="default" r:id="rId2"/>
          <w:footerReference w:type="default" r:id="rId3"/>
          <w:type w:val="nextPage"/>
          <w:pgSz w:w="12240" w:h="15840"/>
          <w:pgMar w:left="1440" w:right="1440" w:gutter="0" w:header="720" w:top="1440" w:footer="720" w:bottom="1440"/>
          <w:pgNumType w:fmt="decimal"/>
          <w:formProt w:val="false"/>
          <w:vAlign w:val="center"/>
          <w:textDirection w:val="lrTb"/>
          <w:docGrid w:type="default" w:linePitch="360" w:charSpace="0"/>
        </w:sectPr>
        <w:pStyle w:val="Normal"/>
        <w:rPr>
          <w:color w:val="000000"/>
        </w:rPr>
      </w:pPr>
      <w:r>
        <w:rPr>
          <w:color w:val="000000"/>
        </w:rPr>
      </w:r>
    </w:p>
    <w:p>
      <w:pPr>
        <w:pStyle w:val="Subtitle"/>
        <w:rPr>
          <w:color w:val="000000"/>
        </w:rPr>
      </w:pPr>
      <w:bookmarkStart w:id="11" w:name="_DV_M6"/>
      <w:bookmarkEnd w:id="11"/>
      <w:r>
        <w:rPr>
          <w:color w:val="000000"/>
        </w:rPr>
        <w:t>TABLE OF CONTENTS</w:t>
      </w:r>
    </w:p>
    <w:p>
      <w:pPr>
        <w:pStyle w:val="Normal"/>
        <w:jc w:val="end"/>
        <w:rPr>
          <w:color w:val="000000"/>
          <w:u w:val="single"/>
        </w:rPr>
      </w:pPr>
      <w:bookmarkStart w:id="12" w:name="_DV_M7"/>
      <w:bookmarkEnd w:id="12"/>
      <w:r>
        <w:rPr>
          <w:color w:val="000000"/>
          <w:u w:val="single"/>
        </w:rPr>
        <w:t>Page No</w:t>
      </w:r>
    </w:p>
    <w:p>
      <w:pPr>
        <w:pStyle w:val="TOC1"/>
        <w:rPr/>
      </w:pPr>
      <w:bookmarkStart w:id="13" w:name="_DV_M8"/>
      <w:bookmarkEnd w:id="13"/>
      <w:r>
        <w:rPr/>
        <w:t>1.</w:t>
        <w:tab/>
        <w:t>Sale and Purchase of the Common Stock.</w:t>
        <w:tab/>
      </w:r>
      <w:bookmarkStart w:id="14" w:name="_DV_M9"/>
      <w:bookmarkEnd w:id="14"/>
      <w:r>
        <w:rPr/>
        <w:t>1</w:t>
      </w:r>
    </w:p>
    <w:p>
      <w:pPr>
        <w:pStyle w:val="TOC2"/>
        <w:tabs>
          <w:tab w:val="clear" w:pos="720"/>
          <w:tab w:val="left" w:pos="960" w:leader="none"/>
          <w:tab w:val="right" w:pos="9350" w:leader="dot"/>
        </w:tabs>
        <w:rPr>
          <w:lang w:val="en-CA" w:eastAsia="en-CA"/>
        </w:rPr>
      </w:pPr>
      <w:bookmarkStart w:id="15" w:name="_DV_M10"/>
      <w:bookmarkEnd w:id="15"/>
      <w:r>
        <w:rPr>
          <w:lang w:val="en-CA" w:eastAsia="en-CA"/>
        </w:rPr>
        <w:t>1.1</w:t>
        <w:tab/>
        <w:t>Sale and Purchase.</w:t>
        <w:tab/>
      </w:r>
      <w:bookmarkStart w:id="16" w:name="_DV_M11"/>
      <w:bookmarkEnd w:id="16"/>
      <w:r>
        <w:rPr>
          <w:lang w:val="en-CA" w:eastAsia="en-CA"/>
        </w:rPr>
        <w:t>1</w:t>
      </w:r>
    </w:p>
    <w:p>
      <w:pPr>
        <w:pStyle w:val="TOC2"/>
        <w:tabs>
          <w:tab w:val="clear" w:pos="720"/>
          <w:tab w:val="left" w:pos="960" w:leader="none"/>
          <w:tab w:val="right" w:pos="9350" w:leader="dot"/>
        </w:tabs>
        <w:rPr>
          <w:lang w:val="en-CA" w:eastAsia="en-CA"/>
        </w:rPr>
      </w:pPr>
      <w:bookmarkStart w:id="17" w:name="_DV_M12"/>
      <w:bookmarkEnd w:id="17"/>
      <w:r>
        <w:rPr>
          <w:lang w:val="en-CA" w:eastAsia="en-CA"/>
        </w:rPr>
        <w:t>1.2</w:t>
        <w:tab/>
        <w:t>The Closing.</w:t>
        <w:tab/>
      </w:r>
      <w:bookmarkStart w:id="18" w:name="_DV_M13"/>
      <w:bookmarkEnd w:id="18"/>
      <w:r>
        <w:rPr>
          <w:lang w:val="en-CA" w:eastAsia="en-CA"/>
        </w:rPr>
        <w:t>1</w:t>
      </w:r>
    </w:p>
    <w:p>
      <w:pPr>
        <w:pStyle w:val="TOC1"/>
        <w:rPr/>
      </w:pPr>
      <w:bookmarkStart w:id="19" w:name="_DV_M14"/>
      <w:bookmarkEnd w:id="19"/>
      <w:r>
        <w:rPr/>
        <w:t>2.</w:t>
        <w:tab/>
        <w:t>Representations and Warranties of the Company.</w:t>
        <w:tab/>
      </w:r>
      <w:bookmarkStart w:id="20" w:name="_DV_M15"/>
      <w:bookmarkEnd w:id="20"/>
      <w:r>
        <w:rPr/>
        <w:t>1</w:t>
      </w:r>
    </w:p>
    <w:p>
      <w:pPr>
        <w:pStyle w:val="TOC2"/>
        <w:tabs>
          <w:tab w:val="clear" w:pos="720"/>
          <w:tab w:val="left" w:pos="960" w:leader="none"/>
          <w:tab w:val="right" w:pos="9350" w:leader="dot"/>
        </w:tabs>
        <w:rPr>
          <w:lang w:val="en-CA" w:eastAsia="en-CA"/>
        </w:rPr>
      </w:pPr>
      <w:bookmarkStart w:id="21" w:name="_DV_M16"/>
      <w:bookmarkEnd w:id="21"/>
      <w:r>
        <w:rPr>
          <w:lang w:val="en-CA" w:eastAsia="en-CA"/>
        </w:rPr>
        <w:t>2.1</w:t>
        <w:tab/>
        <w:t>Organization.</w:t>
        <w:tab/>
      </w:r>
      <w:bookmarkStart w:id="22" w:name="_DV_M17"/>
      <w:bookmarkEnd w:id="22"/>
      <w:r>
        <w:rPr>
          <w:lang w:val="en-CA" w:eastAsia="en-CA"/>
        </w:rPr>
        <w:t>1</w:t>
      </w:r>
    </w:p>
    <w:p>
      <w:pPr>
        <w:pStyle w:val="TOC2"/>
        <w:tabs>
          <w:tab w:val="clear" w:pos="720"/>
          <w:tab w:val="left" w:pos="960" w:leader="none"/>
          <w:tab w:val="right" w:pos="9350" w:leader="dot"/>
        </w:tabs>
        <w:rPr>
          <w:lang w:val="en-CA" w:eastAsia="en-CA"/>
        </w:rPr>
      </w:pPr>
      <w:bookmarkStart w:id="23" w:name="_DV_M18"/>
      <w:bookmarkEnd w:id="23"/>
      <w:r>
        <w:rPr>
          <w:lang w:val="en-CA" w:eastAsia="en-CA"/>
        </w:rPr>
        <w:t>2.2</w:t>
        <w:tab/>
        <w:t>Subsidiaries, Etc.</w:t>
        <w:tab/>
      </w:r>
      <w:bookmarkStart w:id="24" w:name="_DV_M19"/>
      <w:bookmarkEnd w:id="24"/>
      <w:r>
        <w:rPr>
          <w:lang w:val="en-CA" w:eastAsia="en-CA"/>
        </w:rPr>
        <w:t>2</w:t>
      </w:r>
    </w:p>
    <w:p>
      <w:pPr>
        <w:pStyle w:val="TOC2"/>
        <w:tabs>
          <w:tab w:val="clear" w:pos="720"/>
          <w:tab w:val="left" w:pos="960" w:leader="none"/>
          <w:tab w:val="right" w:pos="9350" w:leader="dot"/>
        </w:tabs>
        <w:rPr>
          <w:lang w:val="en-CA" w:eastAsia="en-CA"/>
        </w:rPr>
      </w:pPr>
      <w:bookmarkStart w:id="25" w:name="_DV_M20"/>
      <w:bookmarkEnd w:id="25"/>
      <w:r>
        <w:rPr>
          <w:lang w:val="en-CA" w:eastAsia="en-CA"/>
        </w:rPr>
        <w:t>2.3</w:t>
        <w:tab/>
        <w:t>Authorization of this Agreement and Related Agreements.</w:t>
        <w:tab/>
      </w:r>
      <w:bookmarkStart w:id="26" w:name="_DV_M21"/>
      <w:bookmarkEnd w:id="26"/>
      <w:r>
        <w:rPr>
          <w:lang w:val="en-CA" w:eastAsia="en-CA"/>
        </w:rPr>
        <w:t>2</w:t>
      </w:r>
    </w:p>
    <w:p>
      <w:pPr>
        <w:pStyle w:val="TOC2"/>
        <w:tabs>
          <w:tab w:val="clear" w:pos="720"/>
          <w:tab w:val="left" w:pos="960" w:leader="none"/>
          <w:tab w:val="right" w:pos="9350" w:leader="dot"/>
        </w:tabs>
        <w:rPr>
          <w:lang w:val="en-CA" w:eastAsia="en-CA"/>
        </w:rPr>
      </w:pPr>
      <w:bookmarkStart w:id="27" w:name="_DV_M22"/>
      <w:bookmarkEnd w:id="27"/>
      <w:r>
        <w:rPr>
          <w:lang w:val="en-CA" w:eastAsia="en-CA"/>
        </w:rPr>
        <w:t>2.4</w:t>
        <w:tab/>
        <w:t>Authorization of Shares.</w:t>
        <w:tab/>
      </w:r>
      <w:bookmarkStart w:id="28" w:name="_DV_M23"/>
      <w:bookmarkEnd w:id="28"/>
      <w:r>
        <w:rPr>
          <w:lang w:val="en-CA" w:eastAsia="en-CA"/>
        </w:rPr>
        <w:t>3</w:t>
      </w:r>
    </w:p>
    <w:p>
      <w:pPr>
        <w:pStyle w:val="TOC2"/>
        <w:tabs>
          <w:tab w:val="clear" w:pos="720"/>
          <w:tab w:val="left" w:pos="960" w:leader="none"/>
          <w:tab w:val="right" w:pos="9350" w:leader="dot"/>
        </w:tabs>
        <w:rPr>
          <w:lang w:val="en-CA" w:eastAsia="en-CA"/>
        </w:rPr>
      </w:pPr>
      <w:bookmarkStart w:id="29" w:name="_DV_M24"/>
      <w:bookmarkEnd w:id="29"/>
      <w:r>
        <w:rPr>
          <w:lang w:val="en-CA" w:eastAsia="en-CA"/>
        </w:rPr>
        <w:t>2.5</w:t>
        <w:tab/>
        <w:t>Capitalization.</w:t>
        <w:tab/>
      </w:r>
      <w:bookmarkStart w:id="30" w:name="_DV_M25"/>
      <w:bookmarkEnd w:id="30"/>
      <w:r>
        <w:rPr>
          <w:lang w:val="en-CA" w:eastAsia="en-CA"/>
        </w:rPr>
        <w:t>3</w:t>
      </w:r>
    </w:p>
    <w:p>
      <w:pPr>
        <w:pStyle w:val="TOC2"/>
        <w:tabs>
          <w:tab w:val="clear" w:pos="720"/>
          <w:tab w:val="left" w:pos="960" w:leader="none"/>
          <w:tab w:val="right" w:pos="9350" w:leader="dot"/>
        </w:tabs>
        <w:rPr>
          <w:lang w:val="en-CA" w:eastAsia="en-CA"/>
        </w:rPr>
      </w:pPr>
      <w:bookmarkStart w:id="31" w:name="_DV_M26"/>
      <w:bookmarkEnd w:id="31"/>
      <w:r>
        <w:rPr>
          <w:lang w:val="en-CA" w:eastAsia="en-CA"/>
        </w:rPr>
        <w:t>2.6</w:t>
        <w:tab/>
        <w:t>Financial Statements.</w:t>
        <w:tab/>
      </w:r>
      <w:bookmarkStart w:id="32" w:name="_DV_M27"/>
      <w:bookmarkEnd w:id="32"/>
      <w:r>
        <w:rPr>
          <w:lang w:val="en-CA" w:eastAsia="en-CA"/>
        </w:rPr>
        <w:t>3</w:t>
      </w:r>
    </w:p>
    <w:p>
      <w:pPr>
        <w:pStyle w:val="TOC2"/>
        <w:tabs>
          <w:tab w:val="clear" w:pos="720"/>
          <w:tab w:val="left" w:pos="960" w:leader="none"/>
          <w:tab w:val="right" w:pos="9350" w:leader="dot"/>
        </w:tabs>
        <w:rPr>
          <w:lang w:val="en-CA" w:eastAsia="en-CA"/>
        </w:rPr>
      </w:pPr>
      <w:bookmarkStart w:id="33" w:name="_DV_M28"/>
      <w:bookmarkEnd w:id="33"/>
      <w:r>
        <w:rPr>
          <w:lang w:val="en-CA" w:eastAsia="en-CA"/>
        </w:rPr>
        <w:t>2.7</w:t>
        <w:tab/>
        <w:t>Absence of Changes.</w:t>
        <w:tab/>
      </w:r>
      <w:bookmarkStart w:id="34" w:name="_DV_M29"/>
      <w:bookmarkEnd w:id="34"/>
      <w:r>
        <w:rPr>
          <w:lang w:val="en-CA" w:eastAsia="en-CA"/>
        </w:rPr>
        <w:t>4</w:t>
      </w:r>
    </w:p>
    <w:p>
      <w:pPr>
        <w:pStyle w:val="TOC2"/>
        <w:tabs>
          <w:tab w:val="clear" w:pos="720"/>
          <w:tab w:val="left" w:pos="960" w:leader="none"/>
          <w:tab w:val="right" w:pos="9350" w:leader="dot"/>
        </w:tabs>
        <w:rPr>
          <w:lang w:val="en-CA" w:eastAsia="en-CA"/>
        </w:rPr>
      </w:pPr>
      <w:bookmarkStart w:id="35" w:name="_DV_M30"/>
      <w:bookmarkEnd w:id="35"/>
      <w:r>
        <w:rPr>
          <w:lang w:val="en-CA" w:eastAsia="en-CA"/>
        </w:rPr>
        <w:t>2.8</w:t>
        <w:tab/>
        <w:t>Title; Condition of Property.</w:t>
        <w:tab/>
      </w:r>
      <w:bookmarkStart w:id="36" w:name="_DV_M31"/>
      <w:bookmarkEnd w:id="36"/>
      <w:r>
        <w:rPr>
          <w:lang w:val="en-CA" w:eastAsia="en-CA"/>
        </w:rPr>
        <w:t>5</w:t>
      </w:r>
    </w:p>
    <w:p>
      <w:pPr>
        <w:pStyle w:val="TOC2"/>
        <w:tabs>
          <w:tab w:val="clear" w:pos="720"/>
          <w:tab w:val="left" w:pos="960" w:leader="none"/>
          <w:tab w:val="right" w:pos="9350" w:leader="dot"/>
        </w:tabs>
        <w:rPr>
          <w:lang w:val="en-CA" w:eastAsia="en-CA"/>
        </w:rPr>
      </w:pPr>
      <w:bookmarkStart w:id="37" w:name="_DV_M32"/>
      <w:bookmarkEnd w:id="37"/>
      <w:r>
        <w:rPr>
          <w:lang w:val="en-CA" w:eastAsia="en-CA"/>
        </w:rPr>
        <w:t>2.9</w:t>
        <w:tab/>
        <w:t>Intellectual Property.</w:t>
        <w:tab/>
      </w:r>
      <w:bookmarkStart w:id="38" w:name="_DV_M33"/>
      <w:bookmarkEnd w:id="38"/>
      <w:r>
        <w:rPr>
          <w:lang w:val="en-CA" w:eastAsia="en-CA"/>
        </w:rPr>
        <w:t>5</w:t>
      </w:r>
    </w:p>
    <w:p>
      <w:pPr>
        <w:pStyle w:val="TOC2"/>
        <w:tabs>
          <w:tab w:val="clear" w:pos="720"/>
          <w:tab w:val="left" w:pos="960" w:leader="none"/>
          <w:tab w:val="right" w:pos="9350" w:leader="dot"/>
        </w:tabs>
        <w:rPr>
          <w:lang w:val="en-CA" w:eastAsia="en-CA"/>
        </w:rPr>
      </w:pPr>
      <w:bookmarkStart w:id="39" w:name="_DV_M34"/>
      <w:bookmarkEnd w:id="39"/>
      <w:r>
        <w:rPr>
          <w:lang w:val="en-CA" w:eastAsia="en-CA"/>
        </w:rPr>
        <w:t>2.10</w:t>
        <w:tab/>
        <w:t>Litigation.</w:t>
        <w:tab/>
      </w:r>
      <w:bookmarkStart w:id="40" w:name="_DV_M35"/>
      <w:bookmarkEnd w:id="40"/>
      <w:r>
        <w:rPr>
          <w:lang w:val="en-CA" w:eastAsia="en-CA"/>
        </w:rPr>
        <w:t>6</w:t>
      </w:r>
    </w:p>
    <w:p>
      <w:pPr>
        <w:pStyle w:val="TOC2"/>
        <w:tabs>
          <w:tab w:val="clear" w:pos="720"/>
          <w:tab w:val="left" w:pos="960" w:leader="none"/>
          <w:tab w:val="right" w:pos="9350" w:leader="dot"/>
        </w:tabs>
        <w:rPr>
          <w:lang w:val="en-CA" w:eastAsia="en-CA"/>
        </w:rPr>
      </w:pPr>
      <w:bookmarkStart w:id="41" w:name="_DV_M36"/>
      <w:bookmarkEnd w:id="41"/>
      <w:r>
        <w:rPr>
          <w:lang w:val="en-CA" w:eastAsia="en-CA"/>
        </w:rPr>
        <w:t>2.11</w:t>
        <w:tab/>
        <w:t>No Defaults.</w:t>
        <w:tab/>
      </w:r>
      <w:bookmarkStart w:id="42" w:name="_DV_C8"/>
      <w:r>
        <w:rPr>
          <w:rStyle w:val="DeltaViewDeletion"/>
          <w:lang w:val="en-CA" w:eastAsia="en-CA"/>
        </w:rPr>
        <w:t>7</w:t>
      </w:r>
      <w:bookmarkStart w:id="43" w:name="_DV_C9"/>
      <w:bookmarkEnd w:id="42"/>
      <w:r>
        <w:rPr>
          <w:rStyle w:val="DeltaViewInsertion"/>
          <w:lang w:val="en-CA" w:eastAsia="en-CA"/>
        </w:rPr>
        <w:t>6</w:t>
      </w:r>
      <w:bookmarkEnd w:id="43"/>
    </w:p>
    <w:p>
      <w:pPr>
        <w:pStyle w:val="TOC2"/>
        <w:tabs>
          <w:tab w:val="clear" w:pos="720"/>
          <w:tab w:val="left" w:pos="960" w:leader="none"/>
          <w:tab w:val="right" w:pos="9350" w:leader="dot"/>
        </w:tabs>
        <w:rPr>
          <w:lang w:val="en-CA" w:eastAsia="en-CA"/>
        </w:rPr>
      </w:pPr>
      <w:bookmarkStart w:id="44" w:name="_DV_M37"/>
      <w:bookmarkEnd w:id="44"/>
      <w:r>
        <w:rPr>
          <w:lang w:val="en-CA" w:eastAsia="en-CA"/>
        </w:rPr>
        <w:t>2.12</w:t>
        <w:tab/>
        <w:t>Taxes.</w:t>
        <w:tab/>
      </w:r>
      <w:bookmarkStart w:id="45" w:name="_DV_M38"/>
      <w:bookmarkEnd w:id="45"/>
      <w:r>
        <w:rPr>
          <w:lang w:val="en-CA" w:eastAsia="en-CA"/>
        </w:rPr>
        <w:t>7</w:t>
      </w:r>
    </w:p>
    <w:p>
      <w:pPr>
        <w:pStyle w:val="TOC2"/>
        <w:tabs>
          <w:tab w:val="clear" w:pos="720"/>
          <w:tab w:val="left" w:pos="960" w:leader="none"/>
          <w:tab w:val="right" w:pos="9350" w:leader="dot"/>
        </w:tabs>
        <w:rPr>
          <w:lang w:val="en-CA" w:eastAsia="en-CA"/>
        </w:rPr>
      </w:pPr>
      <w:bookmarkStart w:id="46" w:name="_DV_M39"/>
      <w:bookmarkEnd w:id="46"/>
      <w:r>
        <w:rPr>
          <w:lang w:val="en-CA" w:eastAsia="en-CA"/>
        </w:rPr>
        <w:t>2.13</w:t>
        <w:tab/>
        <w:t>Agreements.</w:t>
        <w:tab/>
      </w:r>
      <w:bookmarkStart w:id="47" w:name="_DV_M40"/>
      <w:bookmarkEnd w:id="47"/>
      <w:r>
        <w:rPr>
          <w:lang w:val="en-CA" w:eastAsia="en-CA"/>
        </w:rPr>
        <w:t>7</w:t>
      </w:r>
    </w:p>
    <w:p>
      <w:pPr>
        <w:pStyle w:val="TOC2"/>
        <w:tabs>
          <w:tab w:val="clear" w:pos="720"/>
          <w:tab w:val="left" w:pos="960" w:leader="none"/>
          <w:tab w:val="right" w:pos="9350" w:leader="dot"/>
        </w:tabs>
        <w:rPr>
          <w:lang w:val="en-CA" w:eastAsia="en-CA"/>
        </w:rPr>
      </w:pPr>
      <w:bookmarkStart w:id="48" w:name="_DV_M41"/>
      <w:bookmarkEnd w:id="48"/>
      <w:r>
        <w:rPr>
          <w:lang w:val="en-CA" w:eastAsia="en-CA"/>
        </w:rPr>
        <w:t>2.14</w:t>
        <w:tab/>
        <w:t>Compliance.</w:t>
        <w:tab/>
      </w:r>
      <w:bookmarkStart w:id="49" w:name="_DV_M42"/>
      <w:bookmarkEnd w:id="49"/>
      <w:r>
        <w:rPr>
          <w:lang w:val="en-CA" w:eastAsia="en-CA"/>
        </w:rPr>
        <w:t>8</w:t>
      </w:r>
    </w:p>
    <w:p>
      <w:pPr>
        <w:pStyle w:val="TOC2"/>
        <w:tabs>
          <w:tab w:val="clear" w:pos="720"/>
          <w:tab w:val="left" w:pos="960" w:leader="none"/>
          <w:tab w:val="right" w:pos="9350" w:leader="dot"/>
        </w:tabs>
        <w:rPr>
          <w:lang w:val="en-CA" w:eastAsia="en-CA"/>
        </w:rPr>
      </w:pPr>
      <w:bookmarkStart w:id="50" w:name="_DV_M43"/>
      <w:bookmarkEnd w:id="50"/>
      <w:r>
        <w:rPr>
          <w:lang w:val="en-CA" w:eastAsia="en-CA"/>
        </w:rPr>
        <w:t>2.15</w:t>
        <w:tab/>
        <w:t>Insurance.</w:t>
        <w:tab/>
      </w:r>
      <w:bookmarkStart w:id="51" w:name="_DV_M44"/>
      <w:bookmarkEnd w:id="51"/>
      <w:r>
        <w:rPr>
          <w:lang w:val="en-CA" w:eastAsia="en-CA"/>
        </w:rPr>
        <w:t>8</w:t>
      </w:r>
    </w:p>
    <w:p>
      <w:pPr>
        <w:pStyle w:val="TOC2"/>
        <w:tabs>
          <w:tab w:val="clear" w:pos="720"/>
          <w:tab w:val="left" w:pos="960" w:leader="none"/>
          <w:tab w:val="right" w:pos="9350" w:leader="dot"/>
        </w:tabs>
        <w:rPr>
          <w:lang w:val="en-CA" w:eastAsia="en-CA"/>
        </w:rPr>
      </w:pPr>
      <w:bookmarkStart w:id="52" w:name="_DV_M45"/>
      <w:bookmarkEnd w:id="52"/>
      <w:r>
        <w:rPr>
          <w:lang w:val="en-CA" w:eastAsia="en-CA"/>
        </w:rPr>
        <w:t>2.16</w:t>
        <w:tab/>
        <w:t>No Governmental Consent or Approval Required.</w:t>
        <w:tab/>
      </w:r>
      <w:bookmarkStart w:id="53" w:name="_DV_M46"/>
      <w:bookmarkEnd w:id="53"/>
      <w:r>
        <w:rPr>
          <w:lang w:val="en-CA" w:eastAsia="en-CA"/>
        </w:rPr>
        <w:t>8</w:t>
      </w:r>
    </w:p>
    <w:p>
      <w:pPr>
        <w:pStyle w:val="TOC2"/>
        <w:tabs>
          <w:tab w:val="clear" w:pos="720"/>
          <w:tab w:val="left" w:pos="960" w:leader="none"/>
          <w:tab w:val="right" w:pos="9350" w:leader="dot"/>
        </w:tabs>
        <w:rPr>
          <w:lang w:val="en-CA" w:eastAsia="en-CA"/>
        </w:rPr>
      </w:pPr>
      <w:bookmarkStart w:id="54" w:name="_DV_M47"/>
      <w:bookmarkEnd w:id="54"/>
      <w:r>
        <w:rPr>
          <w:lang w:val="en-CA" w:eastAsia="en-CA"/>
        </w:rPr>
        <w:t>2.17</w:t>
        <w:tab/>
        <w:t>Registration Rights.</w:t>
        <w:tab/>
      </w:r>
      <w:bookmarkStart w:id="55" w:name="_DV_M48"/>
      <w:bookmarkEnd w:id="55"/>
      <w:r>
        <w:rPr>
          <w:lang w:val="en-CA" w:eastAsia="en-CA"/>
        </w:rPr>
        <w:t>8</w:t>
      </w:r>
    </w:p>
    <w:p>
      <w:pPr>
        <w:pStyle w:val="TOC2"/>
        <w:tabs>
          <w:tab w:val="clear" w:pos="720"/>
          <w:tab w:val="left" w:pos="960" w:leader="none"/>
          <w:tab w:val="right" w:pos="9350" w:leader="dot"/>
        </w:tabs>
        <w:rPr>
          <w:lang w:val="en-CA" w:eastAsia="en-CA"/>
        </w:rPr>
      </w:pPr>
      <w:bookmarkStart w:id="56" w:name="_DV_M49"/>
      <w:bookmarkEnd w:id="56"/>
      <w:r>
        <w:rPr>
          <w:lang w:val="en-CA" w:eastAsia="en-CA"/>
        </w:rPr>
        <w:t>2.18</w:t>
        <w:tab/>
        <w:t>Brokers.</w:t>
        <w:tab/>
      </w:r>
      <w:bookmarkStart w:id="57" w:name="_DV_M50"/>
      <w:bookmarkEnd w:id="57"/>
      <w:r>
        <w:rPr>
          <w:lang w:val="en-CA" w:eastAsia="en-CA"/>
        </w:rPr>
        <w:t>8</w:t>
      </w:r>
    </w:p>
    <w:p>
      <w:pPr>
        <w:pStyle w:val="TOC2"/>
        <w:tabs>
          <w:tab w:val="clear" w:pos="720"/>
          <w:tab w:val="left" w:pos="960" w:leader="none"/>
          <w:tab w:val="right" w:pos="9350" w:leader="dot"/>
        </w:tabs>
        <w:rPr>
          <w:lang w:val="en-CA" w:eastAsia="en-CA"/>
        </w:rPr>
      </w:pPr>
      <w:bookmarkStart w:id="58" w:name="_DV_M51"/>
      <w:bookmarkEnd w:id="58"/>
      <w:r>
        <w:rPr>
          <w:lang w:val="en-CA" w:eastAsia="en-CA"/>
        </w:rPr>
        <w:t>2.19</w:t>
        <w:tab/>
        <w:t>Environmental Matters.</w:t>
        <w:tab/>
      </w:r>
      <w:bookmarkStart w:id="59" w:name="_DV_M52"/>
      <w:bookmarkEnd w:id="59"/>
      <w:r>
        <w:rPr>
          <w:lang w:val="en-CA" w:eastAsia="en-CA"/>
        </w:rPr>
        <w:t>8</w:t>
      </w:r>
    </w:p>
    <w:p>
      <w:pPr>
        <w:pStyle w:val="TOC2"/>
        <w:tabs>
          <w:tab w:val="clear" w:pos="720"/>
          <w:tab w:val="left" w:pos="960" w:leader="none"/>
          <w:tab w:val="right" w:pos="9350" w:leader="dot"/>
        </w:tabs>
        <w:rPr>
          <w:lang w:val="en-CA" w:eastAsia="en-CA"/>
        </w:rPr>
      </w:pPr>
      <w:bookmarkStart w:id="60" w:name="_DV_M53"/>
      <w:bookmarkEnd w:id="60"/>
      <w:r>
        <w:rPr>
          <w:lang w:val="en-CA" w:eastAsia="en-CA"/>
        </w:rPr>
        <w:t>2.20</w:t>
        <w:tab/>
        <w:t>Employees.</w:t>
        <w:tab/>
      </w:r>
      <w:bookmarkStart w:id="61" w:name="_DV_C10"/>
      <w:r>
        <w:rPr>
          <w:rStyle w:val="DeltaViewDeletion"/>
          <w:lang w:val="en-CA" w:eastAsia="en-CA"/>
        </w:rPr>
        <w:t>9</w:t>
      </w:r>
      <w:bookmarkStart w:id="62" w:name="_DV_C11"/>
      <w:bookmarkEnd w:id="61"/>
      <w:r>
        <w:rPr>
          <w:rStyle w:val="DeltaViewInsertion"/>
          <w:lang w:val="en-CA" w:eastAsia="en-CA"/>
        </w:rPr>
        <w:t>8</w:t>
      </w:r>
      <w:bookmarkEnd w:id="62"/>
    </w:p>
    <w:p>
      <w:pPr>
        <w:pStyle w:val="TOC2"/>
        <w:tabs>
          <w:tab w:val="clear" w:pos="720"/>
          <w:tab w:val="left" w:pos="960" w:leader="none"/>
          <w:tab w:val="right" w:pos="9350" w:leader="dot"/>
        </w:tabs>
        <w:rPr>
          <w:lang w:val="en-CA" w:eastAsia="en-CA"/>
        </w:rPr>
      </w:pPr>
      <w:bookmarkStart w:id="63" w:name="_DV_M54"/>
      <w:bookmarkEnd w:id="63"/>
      <w:r>
        <w:rPr>
          <w:lang w:val="en-CA" w:eastAsia="en-CA"/>
        </w:rPr>
        <w:t>2.21</w:t>
        <w:tab/>
        <w:t>Benefits Plans.</w:t>
        <w:tab/>
      </w:r>
      <w:bookmarkStart w:id="64" w:name="_DV_M55"/>
      <w:bookmarkEnd w:id="64"/>
      <w:r>
        <w:rPr>
          <w:lang w:val="en-CA" w:eastAsia="en-CA"/>
        </w:rPr>
        <w:t>9</w:t>
      </w:r>
    </w:p>
    <w:p>
      <w:pPr>
        <w:pStyle w:val="TOC2"/>
        <w:tabs>
          <w:tab w:val="clear" w:pos="720"/>
          <w:tab w:val="left" w:pos="960" w:leader="none"/>
          <w:tab w:val="right" w:pos="9350" w:leader="dot"/>
        </w:tabs>
        <w:rPr>
          <w:lang w:val="en-CA" w:eastAsia="en-CA"/>
        </w:rPr>
      </w:pPr>
      <w:bookmarkStart w:id="65" w:name="_DV_M56"/>
      <w:bookmarkEnd w:id="65"/>
      <w:r>
        <w:rPr>
          <w:lang w:val="en-CA" w:eastAsia="en-CA"/>
        </w:rPr>
        <w:t>2.22</w:t>
        <w:tab/>
        <w:t>Books and Records.</w:t>
        <w:tab/>
      </w:r>
      <w:bookmarkStart w:id="66" w:name="_DV_M57"/>
      <w:bookmarkEnd w:id="66"/>
      <w:r>
        <w:rPr>
          <w:lang w:val="en-CA" w:eastAsia="en-CA"/>
        </w:rPr>
        <w:t>9</w:t>
      </w:r>
    </w:p>
    <w:p>
      <w:pPr>
        <w:pStyle w:val="TOC2"/>
        <w:tabs>
          <w:tab w:val="clear" w:pos="720"/>
          <w:tab w:val="left" w:pos="960" w:leader="none"/>
          <w:tab w:val="right" w:pos="9350" w:leader="dot"/>
        </w:tabs>
        <w:rPr>
          <w:lang w:val="en-CA" w:eastAsia="en-CA"/>
        </w:rPr>
      </w:pPr>
      <w:bookmarkStart w:id="67" w:name="_DV_M58"/>
      <w:bookmarkEnd w:id="67"/>
      <w:r>
        <w:rPr>
          <w:lang w:val="en-CA" w:eastAsia="en-CA"/>
        </w:rPr>
        <w:t>2.23</w:t>
        <w:tab/>
        <w:t>U.S. Real Property Holding Corporation.</w:t>
        <w:tab/>
      </w:r>
      <w:bookmarkStart w:id="68" w:name="_DV_M59"/>
      <w:bookmarkEnd w:id="68"/>
      <w:r>
        <w:rPr>
          <w:lang w:val="en-CA" w:eastAsia="en-CA"/>
        </w:rPr>
        <w:t>9</w:t>
      </w:r>
    </w:p>
    <w:p>
      <w:pPr>
        <w:pStyle w:val="TOC2"/>
        <w:tabs>
          <w:tab w:val="clear" w:pos="720"/>
          <w:tab w:val="left" w:pos="960" w:leader="none"/>
          <w:tab w:val="right" w:pos="9350" w:leader="dot"/>
        </w:tabs>
        <w:rPr>
          <w:lang w:val="en-CA" w:eastAsia="en-CA"/>
        </w:rPr>
      </w:pPr>
      <w:bookmarkStart w:id="69" w:name="_DV_M60"/>
      <w:bookmarkEnd w:id="69"/>
      <w:r>
        <w:rPr>
          <w:lang w:val="en-CA" w:eastAsia="en-CA"/>
        </w:rPr>
        <w:t>2.24</w:t>
        <w:tab/>
        <w:t>Investment Company Act.</w:t>
        <w:tab/>
      </w:r>
      <w:bookmarkStart w:id="70" w:name="_DV_M61"/>
      <w:bookmarkEnd w:id="70"/>
      <w:r>
        <w:rPr>
          <w:lang w:val="en-CA" w:eastAsia="en-CA"/>
        </w:rPr>
        <w:t>9</w:t>
      </w:r>
    </w:p>
    <w:p>
      <w:pPr>
        <w:pStyle w:val="TOC2"/>
        <w:tabs>
          <w:tab w:val="clear" w:pos="720"/>
          <w:tab w:val="left" w:pos="960" w:leader="none"/>
          <w:tab w:val="right" w:pos="9350" w:leader="dot"/>
        </w:tabs>
        <w:rPr>
          <w:lang w:val="en-CA" w:eastAsia="en-CA"/>
        </w:rPr>
      </w:pPr>
      <w:bookmarkStart w:id="71" w:name="_DV_M62"/>
      <w:bookmarkEnd w:id="71"/>
      <w:r>
        <w:rPr>
          <w:lang w:val="en-CA" w:eastAsia="en-CA"/>
        </w:rPr>
        <w:t>2.25</w:t>
        <w:tab/>
        <w:t>Licenses and Permits.</w:t>
        <w:tab/>
      </w:r>
      <w:bookmarkStart w:id="72" w:name="_DV_M63"/>
      <w:bookmarkEnd w:id="72"/>
      <w:r>
        <w:rPr>
          <w:lang w:val="en-CA" w:eastAsia="en-CA"/>
        </w:rPr>
        <w:t>9</w:t>
      </w:r>
    </w:p>
    <w:p>
      <w:pPr>
        <w:pStyle w:val="TOC2"/>
        <w:tabs>
          <w:tab w:val="clear" w:pos="720"/>
          <w:tab w:val="left" w:pos="960" w:leader="none"/>
          <w:tab w:val="right" w:pos="9350" w:leader="dot"/>
        </w:tabs>
        <w:rPr>
          <w:lang w:val="en-CA" w:eastAsia="en-CA"/>
        </w:rPr>
      </w:pPr>
      <w:bookmarkStart w:id="73" w:name="_DV_M64"/>
      <w:bookmarkEnd w:id="73"/>
      <w:r>
        <w:rPr>
          <w:lang w:val="en-CA" w:eastAsia="en-CA"/>
        </w:rPr>
        <w:t>2.26</w:t>
        <w:tab/>
        <w:t>Transaction Information.</w:t>
        <w:tab/>
      </w:r>
      <w:bookmarkStart w:id="74" w:name="_DV_C12"/>
      <w:r>
        <w:rPr>
          <w:rStyle w:val="DeltaViewDeletion"/>
          <w:lang w:val="en-CA" w:eastAsia="en-CA"/>
        </w:rPr>
        <w:t>10</w:t>
      </w:r>
      <w:bookmarkStart w:id="75" w:name="_DV_C13"/>
      <w:bookmarkEnd w:id="74"/>
      <w:r>
        <w:rPr>
          <w:rStyle w:val="DeltaViewInsertion"/>
          <w:lang w:val="en-CA" w:eastAsia="en-CA"/>
        </w:rPr>
        <w:t>9</w:t>
      </w:r>
      <w:bookmarkEnd w:id="75"/>
    </w:p>
    <w:p>
      <w:pPr>
        <w:pStyle w:val="TOC1"/>
        <w:rPr/>
      </w:pPr>
      <w:bookmarkStart w:id="76" w:name="_DV_M65"/>
      <w:bookmarkEnd w:id="76"/>
      <w:r>
        <w:rPr/>
        <w:t>3.</w:t>
        <w:tab/>
        <w:t>Representations and Warranties of the Investor.</w:t>
        <w:tab/>
      </w:r>
      <w:bookmarkStart w:id="77" w:name="_DV_M66"/>
      <w:bookmarkEnd w:id="77"/>
      <w:r>
        <w:rPr/>
        <w:t>10</w:t>
      </w:r>
    </w:p>
    <w:p>
      <w:pPr>
        <w:pStyle w:val="TOC2"/>
        <w:tabs>
          <w:tab w:val="clear" w:pos="720"/>
          <w:tab w:val="left" w:pos="960" w:leader="none"/>
          <w:tab w:val="right" w:pos="9350" w:leader="dot"/>
        </w:tabs>
        <w:rPr>
          <w:lang w:val="en-CA" w:eastAsia="en-CA"/>
        </w:rPr>
      </w:pPr>
      <w:bookmarkStart w:id="78" w:name="_DV_M67"/>
      <w:bookmarkEnd w:id="78"/>
      <w:r>
        <w:rPr>
          <w:lang w:val="en-CA" w:eastAsia="en-CA"/>
        </w:rPr>
        <w:t>3.1</w:t>
        <w:tab/>
        <w:t>Investment.</w:t>
        <w:tab/>
      </w:r>
      <w:bookmarkStart w:id="79" w:name="_DV_M68"/>
      <w:bookmarkEnd w:id="79"/>
      <w:r>
        <w:rPr>
          <w:lang w:val="en-CA" w:eastAsia="en-CA"/>
        </w:rPr>
        <w:t>10</w:t>
      </w:r>
    </w:p>
    <w:p>
      <w:pPr>
        <w:pStyle w:val="TOC2"/>
        <w:tabs>
          <w:tab w:val="clear" w:pos="720"/>
          <w:tab w:val="left" w:pos="960" w:leader="none"/>
          <w:tab w:val="right" w:pos="9350" w:leader="dot"/>
        </w:tabs>
        <w:rPr>
          <w:lang w:val="en-CA" w:eastAsia="en-CA"/>
        </w:rPr>
      </w:pPr>
      <w:bookmarkStart w:id="80" w:name="_DV_M69"/>
      <w:bookmarkEnd w:id="80"/>
      <w:r>
        <w:rPr>
          <w:lang w:val="en-CA" w:eastAsia="en-CA"/>
        </w:rPr>
        <w:t>3.2</w:t>
        <w:tab/>
        <w:t>Access to Information.</w:t>
        <w:tab/>
      </w:r>
      <w:bookmarkStart w:id="81" w:name="_DV_M70"/>
      <w:bookmarkEnd w:id="81"/>
      <w:r>
        <w:rPr>
          <w:lang w:val="en-CA" w:eastAsia="en-CA"/>
        </w:rPr>
        <w:t>10</w:t>
      </w:r>
    </w:p>
    <w:p>
      <w:pPr>
        <w:pStyle w:val="TOC2"/>
        <w:tabs>
          <w:tab w:val="clear" w:pos="720"/>
          <w:tab w:val="left" w:pos="960" w:leader="none"/>
          <w:tab w:val="right" w:pos="9350" w:leader="dot"/>
        </w:tabs>
        <w:rPr>
          <w:lang w:val="en-CA" w:eastAsia="en-CA"/>
        </w:rPr>
      </w:pPr>
      <w:bookmarkStart w:id="82" w:name="_DV_M71"/>
      <w:bookmarkEnd w:id="82"/>
      <w:r>
        <w:rPr>
          <w:lang w:val="en-CA" w:eastAsia="en-CA"/>
        </w:rPr>
        <w:t>3.3</w:t>
        <w:tab/>
        <w:t>General Access.</w:t>
        <w:tab/>
      </w:r>
      <w:bookmarkStart w:id="83" w:name="_DV_M72"/>
      <w:bookmarkEnd w:id="83"/>
      <w:r>
        <w:rPr>
          <w:lang w:val="en-CA" w:eastAsia="en-CA"/>
        </w:rPr>
        <w:t>10</w:t>
      </w:r>
    </w:p>
    <w:p>
      <w:pPr>
        <w:pStyle w:val="TOC2"/>
        <w:tabs>
          <w:tab w:val="clear" w:pos="720"/>
          <w:tab w:val="left" w:pos="960" w:leader="none"/>
          <w:tab w:val="right" w:pos="9350" w:leader="dot"/>
        </w:tabs>
        <w:rPr>
          <w:lang w:val="en-CA" w:eastAsia="en-CA"/>
        </w:rPr>
      </w:pPr>
      <w:bookmarkStart w:id="84" w:name="_DV_M73"/>
      <w:bookmarkEnd w:id="84"/>
      <w:r>
        <w:rPr>
          <w:lang w:val="en-CA" w:eastAsia="en-CA"/>
        </w:rPr>
        <w:t>3.4</w:t>
        <w:tab/>
        <w:t>Sophistication and Knowledge; Accredited Investor.</w:t>
        <w:tab/>
      </w:r>
      <w:bookmarkStart w:id="85" w:name="_DV_M74"/>
      <w:bookmarkEnd w:id="85"/>
      <w:r>
        <w:rPr>
          <w:lang w:val="en-CA" w:eastAsia="en-CA"/>
        </w:rPr>
        <w:t>10</w:t>
      </w:r>
    </w:p>
    <w:p>
      <w:pPr>
        <w:pStyle w:val="TOC2"/>
        <w:tabs>
          <w:tab w:val="clear" w:pos="720"/>
          <w:tab w:val="left" w:pos="960" w:leader="none"/>
          <w:tab w:val="right" w:pos="9350" w:leader="dot"/>
        </w:tabs>
        <w:rPr>
          <w:lang w:val="en-CA" w:eastAsia="en-CA"/>
        </w:rPr>
      </w:pPr>
      <w:bookmarkStart w:id="86" w:name="_DV_M75"/>
      <w:bookmarkEnd w:id="86"/>
      <w:r>
        <w:rPr>
          <w:lang w:val="en-CA" w:eastAsia="en-CA"/>
        </w:rPr>
        <w:t>3.5</w:t>
        <w:tab/>
        <w:t>Power and Authority.</w:t>
        <w:tab/>
      </w:r>
      <w:bookmarkStart w:id="87" w:name="_DV_M76"/>
      <w:bookmarkEnd w:id="87"/>
      <w:r>
        <w:rPr>
          <w:lang w:val="en-CA" w:eastAsia="en-CA"/>
        </w:rPr>
        <w:t>10</w:t>
      </w:r>
    </w:p>
    <w:p>
      <w:pPr>
        <w:pStyle w:val="TOC1"/>
        <w:rPr/>
      </w:pPr>
      <w:bookmarkStart w:id="88" w:name="_DV_M77"/>
      <w:bookmarkEnd w:id="88"/>
      <w:r>
        <w:rPr/>
        <w:t>4.</w:t>
        <w:tab/>
        <w:t>Conditions Precedent to Closing.</w:t>
        <w:tab/>
      </w:r>
      <w:bookmarkStart w:id="89" w:name="_DV_M78"/>
      <w:bookmarkEnd w:id="89"/>
      <w:r>
        <w:rPr/>
        <w:t>11</w:t>
      </w:r>
    </w:p>
    <w:p>
      <w:pPr>
        <w:pStyle w:val="TOC2"/>
        <w:tabs>
          <w:tab w:val="clear" w:pos="720"/>
          <w:tab w:val="left" w:pos="960" w:leader="none"/>
          <w:tab w:val="right" w:pos="9350" w:leader="dot"/>
        </w:tabs>
        <w:rPr>
          <w:lang w:val="en-CA" w:eastAsia="en-CA"/>
        </w:rPr>
      </w:pPr>
      <w:bookmarkStart w:id="90" w:name="_DV_M79"/>
      <w:bookmarkEnd w:id="90"/>
      <w:r>
        <w:rPr>
          <w:lang w:val="en-CA" w:eastAsia="en-CA"/>
        </w:rPr>
        <w:t>4.1</w:t>
        <w:tab/>
        <w:t>Conditions Precedent to Closing by the Investor.</w:t>
        <w:tab/>
      </w:r>
      <w:bookmarkStart w:id="91" w:name="_DV_M80"/>
      <w:bookmarkEnd w:id="91"/>
      <w:r>
        <w:rPr>
          <w:lang w:val="en-CA" w:eastAsia="en-CA"/>
        </w:rPr>
        <w:t>11</w:t>
      </w:r>
    </w:p>
    <w:p>
      <w:pPr>
        <w:pStyle w:val="TOC2"/>
        <w:tabs>
          <w:tab w:val="clear" w:pos="720"/>
          <w:tab w:val="left" w:pos="960" w:leader="none"/>
          <w:tab w:val="right" w:pos="9350" w:leader="dot"/>
        </w:tabs>
        <w:rPr>
          <w:lang w:val="en-CA" w:eastAsia="en-CA"/>
        </w:rPr>
      </w:pPr>
      <w:bookmarkStart w:id="92" w:name="_DV_M81"/>
      <w:bookmarkEnd w:id="92"/>
      <w:r>
        <w:rPr>
          <w:lang w:val="en-CA" w:eastAsia="en-CA"/>
        </w:rPr>
        <w:t>4.2</w:t>
        <w:tab/>
        <w:t>Conditions Precedent to Closing by the Company.</w:t>
        <w:tab/>
      </w:r>
      <w:bookmarkStart w:id="93" w:name="_DV_C14"/>
      <w:r>
        <w:rPr>
          <w:rStyle w:val="DeltaViewDeletion"/>
          <w:lang w:val="en-CA" w:eastAsia="en-CA"/>
        </w:rPr>
        <w:t>13</w:t>
      </w:r>
      <w:bookmarkStart w:id="94" w:name="_DV_C15"/>
      <w:bookmarkEnd w:id="93"/>
      <w:r>
        <w:rPr>
          <w:rStyle w:val="DeltaViewInsertion"/>
          <w:lang w:val="en-CA" w:eastAsia="en-CA"/>
        </w:rPr>
        <w:t>12</w:t>
      </w:r>
      <w:bookmarkEnd w:id="94"/>
    </w:p>
    <w:p>
      <w:pPr>
        <w:pStyle w:val="TOC1"/>
        <w:rPr/>
      </w:pPr>
      <w:bookmarkStart w:id="95" w:name="_DV_M82"/>
      <w:bookmarkEnd w:id="95"/>
      <w:r>
        <w:rPr/>
        <w:t>5.</w:t>
        <w:tab/>
        <w:t>Covenants.</w:t>
        <w:tab/>
      </w:r>
      <w:bookmarkStart w:id="96" w:name="_DV_M83"/>
      <w:bookmarkEnd w:id="96"/>
      <w:r>
        <w:rPr/>
        <w:t>13</w:t>
      </w:r>
    </w:p>
    <w:p>
      <w:pPr>
        <w:pStyle w:val="TOC2"/>
        <w:tabs>
          <w:tab w:val="clear" w:pos="720"/>
          <w:tab w:val="left" w:pos="960" w:leader="none"/>
          <w:tab w:val="right" w:pos="9350" w:leader="dot"/>
        </w:tabs>
        <w:rPr>
          <w:lang w:val="en-CA" w:eastAsia="en-CA"/>
        </w:rPr>
      </w:pPr>
      <w:bookmarkStart w:id="97" w:name="_DV_M84"/>
      <w:bookmarkEnd w:id="97"/>
      <w:r>
        <w:rPr>
          <w:lang w:val="en-CA" w:eastAsia="en-CA"/>
        </w:rPr>
        <w:t>5.1</w:t>
        <w:tab/>
        <w:t>Access to Records and Personnel.</w:t>
        <w:tab/>
      </w:r>
      <w:bookmarkStart w:id="98" w:name="_DV_M85"/>
      <w:bookmarkEnd w:id="98"/>
      <w:r>
        <w:rPr>
          <w:lang w:val="en-CA" w:eastAsia="en-CA"/>
        </w:rPr>
        <w:t>13</w:t>
      </w:r>
    </w:p>
    <w:p>
      <w:pPr>
        <w:pStyle w:val="TOC2"/>
        <w:tabs>
          <w:tab w:val="clear" w:pos="720"/>
          <w:tab w:val="left" w:pos="960" w:leader="none"/>
          <w:tab w:val="right" w:pos="9350" w:leader="dot"/>
        </w:tabs>
        <w:rPr>
          <w:lang w:val="en-CA" w:eastAsia="en-CA"/>
        </w:rPr>
      </w:pPr>
      <w:bookmarkStart w:id="99" w:name="_DV_M86"/>
      <w:bookmarkEnd w:id="99"/>
      <w:r>
        <w:rPr>
          <w:lang w:val="en-CA" w:eastAsia="en-CA"/>
        </w:rPr>
        <w:t>5.2</w:t>
        <w:tab/>
        <w:t>Financial Reports.</w:t>
        <w:tab/>
      </w:r>
      <w:bookmarkStart w:id="100" w:name="_DV_M87"/>
      <w:bookmarkEnd w:id="100"/>
      <w:r>
        <w:rPr>
          <w:lang w:val="en-CA" w:eastAsia="en-CA"/>
        </w:rPr>
        <w:t>13</w:t>
      </w:r>
    </w:p>
    <w:p>
      <w:pPr>
        <w:pStyle w:val="TOC2"/>
        <w:tabs>
          <w:tab w:val="clear" w:pos="720"/>
          <w:tab w:val="left" w:pos="960" w:leader="none"/>
          <w:tab w:val="right" w:pos="9350" w:leader="dot"/>
        </w:tabs>
        <w:rPr>
          <w:lang w:val="en-CA" w:eastAsia="en-CA"/>
        </w:rPr>
      </w:pPr>
      <w:bookmarkStart w:id="101" w:name="_DV_M88"/>
      <w:bookmarkEnd w:id="101"/>
      <w:r>
        <w:rPr>
          <w:lang w:val="en-CA" w:eastAsia="en-CA"/>
        </w:rPr>
        <w:t>5.3</w:t>
        <w:tab/>
        <w:t>Limitations on Rights of the Investor Under Section 5.</w:t>
        <w:tab/>
      </w:r>
      <w:bookmarkStart w:id="102" w:name="_DV_M89"/>
      <w:bookmarkEnd w:id="102"/>
      <w:r>
        <w:rPr>
          <w:lang w:val="en-CA" w:eastAsia="en-CA"/>
        </w:rPr>
        <w:t>14</w:t>
      </w:r>
    </w:p>
    <w:p>
      <w:pPr>
        <w:pStyle w:val="TOC2"/>
        <w:tabs>
          <w:tab w:val="clear" w:pos="720"/>
          <w:tab w:val="left" w:pos="960" w:leader="none"/>
          <w:tab w:val="right" w:pos="9350" w:leader="dot"/>
        </w:tabs>
        <w:rPr>
          <w:lang w:val="en-CA" w:eastAsia="en-CA"/>
        </w:rPr>
      </w:pPr>
      <w:bookmarkStart w:id="103" w:name="_DV_M90"/>
      <w:bookmarkEnd w:id="103"/>
      <w:r>
        <w:rPr>
          <w:lang w:val="en-CA" w:eastAsia="en-CA"/>
        </w:rPr>
        <w:t>5.4</w:t>
        <w:tab/>
        <w:t>Material Changes and Litigation.</w:t>
        <w:tab/>
      </w:r>
      <w:bookmarkStart w:id="104" w:name="_DV_M91"/>
      <w:bookmarkEnd w:id="104"/>
      <w:r>
        <w:rPr>
          <w:lang w:val="en-CA" w:eastAsia="en-CA"/>
        </w:rPr>
        <w:t>14</w:t>
      </w:r>
    </w:p>
    <w:p>
      <w:pPr>
        <w:pStyle w:val="TOC2"/>
        <w:tabs>
          <w:tab w:val="clear" w:pos="720"/>
          <w:tab w:val="left" w:pos="960" w:leader="none"/>
          <w:tab w:val="right" w:pos="9350" w:leader="dot"/>
        </w:tabs>
        <w:rPr>
          <w:lang w:val="en-CA" w:eastAsia="en-CA"/>
        </w:rPr>
      </w:pPr>
      <w:bookmarkStart w:id="105" w:name="_DV_M92"/>
      <w:bookmarkEnd w:id="105"/>
      <w:r>
        <w:rPr>
          <w:lang w:val="en-CA" w:eastAsia="en-CA"/>
        </w:rPr>
        <w:t>5.5</w:t>
        <w:tab/>
        <w:t>Related Agreements.</w:t>
        <w:tab/>
      </w:r>
      <w:bookmarkStart w:id="106" w:name="_DV_M93"/>
      <w:bookmarkEnd w:id="106"/>
      <w:r>
        <w:rPr>
          <w:lang w:val="en-CA" w:eastAsia="en-CA"/>
        </w:rPr>
        <w:t>14</w:t>
      </w:r>
    </w:p>
    <w:p>
      <w:pPr>
        <w:pStyle w:val="TOC2"/>
        <w:tabs>
          <w:tab w:val="clear" w:pos="720"/>
          <w:tab w:val="left" w:pos="960" w:leader="none"/>
          <w:tab w:val="right" w:pos="9350" w:leader="dot"/>
        </w:tabs>
        <w:rPr>
          <w:lang w:val="en-CA" w:eastAsia="en-CA"/>
        </w:rPr>
      </w:pPr>
      <w:bookmarkStart w:id="107" w:name="_DV_M94"/>
      <w:bookmarkEnd w:id="107"/>
      <w:r>
        <w:rPr>
          <w:lang w:val="en-CA" w:eastAsia="en-CA"/>
        </w:rPr>
        <w:t>5.6</w:t>
        <w:tab/>
        <w:t>No Integration.</w:t>
        <w:tab/>
      </w:r>
      <w:bookmarkStart w:id="108" w:name="_DV_M95"/>
      <w:bookmarkEnd w:id="108"/>
      <w:r>
        <w:rPr>
          <w:lang w:val="en-CA" w:eastAsia="en-CA"/>
        </w:rPr>
        <w:t>14</w:t>
      </w:r>
    </w:p>
    <w:p>
      <w:pPr>
        <w:pStyle w:val="TOC2"/>
        <w:tabs>
          <w:tab w:val="clear" w:pos="720"/>
          <w:tab w:val="left" w:pos="960" w:leader="none"/>
          <w:tab w:val="right" w:pos="9350" w:leader="dot"/>
        </w:tabs>
        <w:rPr>
          <w:lang w:val="en-CA" w:eastAsia="en-CA"/>
        </w:rPr>
      </w:pPr>
      <w:bookmarkStart w:id="109" w:name="_DV_M96"/>
      <w:bookmarkEnd w:id="109"/>
      <w:r>
        <w:rPr>
          <w:lang w:val="en-CA" w:eastAsia="en-CA"/>
        </w:rPr>
        <w:t>5.7</w:t>
        <w:tab/>
        <w:t>Corporate Existence.</w:t>
        <w:tab/>
      </w:r>
      <w:bookmarkStart w:id="110" w:name="_DV_M97"/>
      <w:bookmarkEnd w:id="110"/>
      <w:r>
        <w:rPr>
          <w:lang w:val="en-CA" w:eastAsia="en-CA"/>
        </w:rPr>
        <w:t>14</w:t>
      </w:r>
    </w:p>
    <w:p>
      <w:pPr>
        <w:pStyle w:val="TOC2"/>
        <w:tabs>
          <w:tab w:val="clear" w:pos="720"/>
          <w:tab w:val="left" w:pos="960" w:leader="none"/>
          <w:tab w:val="right" w:pos="9350" w:leader="dot"/>
        </w:tabs>
        <w:rPr>
          <w:lang w:val="en-CA" w:eastAsia="en-CA"/>
        </w:rPr>
      </w:pPr>
      <w:bookmarkStart w:id="111" w:name="_DV_M98"/>
      <w:bookmarkEnd w:id="111"/>
      <w:r>
        <w:rPr>
          <w:lang w:val="en-CA" w:eastAsia="en-CA"/>
        </w:rPr>
        <w:t>5.8</w:t>
        <w:tab/>
        <w:t>Taxes.</w:t>
        <w:tab/>
      </w:r>
      <w:bookmarkStart w:id="112" w:name="_DV_M99"/>
      <w:bookmarkEnd w:id="112"/>
      <w:r>
        <w:rPr>
          <w:lang w:val="en-CA" w:eastAsia="en-CA"/>
        </w:rPr>
        <w:t>14</w:t>
      </w:r>
    </w:p>
    <w:p>
      <w:pPr>
        <w:pStyle w:val="TOC2"/>
        <w:tabs>
          <w:tab w:val="clear" w:pos="720"/>
          <w:tab w:val="left" w:pos="960" w:leader="none"/>
          <w:tab w:val="right" w:pos="9350" w:leader="dot"/>
        </w:tabs>
        <w:rPr>
          <w:lang w:val="en-CA" w:eastAsia="en-CA"/>
        </w:rPr>
      </w:pPr>
      <w:bookmarkStart w:id="113" w:name="_DV_M100"/>
      <w:bookmarkEnd w:id="113"/>
      <w:r>
        <w:rPr>
          <w:lang w:val="en-CA" w:eastAsia="en-CA"/>
        </w:rPr>
        <w:t>5.9</w:t>
        <w:tab/>
        <w:t>Compliance with Law.</w:t>
        <w:tab/>
      </w:r>
      <w:bookmarkStart w:id="114" w:name="_DV_C16"/>
      <w:r>
        <w:rPr>
          <w:rStyle w:val="DeltaViewDeletion"/>
          <w:lang w:val="en-CA" w:eastAsia="en-CA"/>
        </w:rPr>
        <w:t>15</w:t>
      </w:r>
      <w:bookmarkStart w:id="115" w:name="_DV_C17"/>
      <w:bookmarkEnd w:id="114"/>
      <w:r>
        <w:rPr>
          <w:rStyle w:val="DeltaViewInsertion"/>
          <w:lang w:val="en-CA" w:eastAsia="en-CA"/>
        </w:rPr>
        <w:t>14</w:t>
      </w:r>
      <w:bookmarkEnd w:id="115"/>
    </w:p>
    <w:p>
      <w:pPr>
        <w:pStyle w:val="TOC2"/>
        <w:tabs>
          <w:tab w:val="clear" w:pos="720"/>
          <w:tab w:val="left" w:pos="960" w:leader="none"/>
          <w:tab w:val="right" w:pos="9350" w:leader="dot"/>
        </w:tabs>
        <w:rPr>
          <w:lang w:val="en-CA" w:eastAsia="en-CA"/>
        </w:rPr>
      </w:pPr>
      <w:bookmarkStart w:id="116" w:name="_DV_M101"/>
      <w:bookmarkEnd w:id="116"/>
      <w:r>
        <w:rPr>
          <w:lang w:val="en-CA" w:eastAsia="en-CA"/>
        </w:rPr>
        <w:t>5.10</w:t>
        <w:tab/>
        <w:t>Best Efforts; Further Assurances.</w:t>
        <w:tab/>
      </w:r>
      <w:bookmarkStart w:id="117" w:name="_DV_M102"/>
      <w:bookmarkEnd w:id="117"/>
      <w:r>
        <w:rPr>
          <w:lang w:val="en-CA" w:eastAsia="en-CA"/>
        </w:rPr>
        <w:t>15</w:t>
      </w:r>
    </w:p>
    <w:p>
      <w:pPr>
        <w:pStyle w:val="TOC2"/>
        <w:tabs>
          <w:tab w:val="clear" w:pos="720"/>
          <w:tab w:val="left" w:pos="960" w:leader="none"/>
          <w:tab w:val="right" w:pos="9350" w:leader="dot"/>
        </w:tabs>
        <w:rPr>
          <w:lang w:val="en-CA" w:eastAsia="en-CA"/>
        </w:rPr>
      </w:pPr>
      <w:bookmarkStart w:id="118" w:name="_DV_C18"/>
      <w:bookmarkStart w:id="119" w:name="_DV_IPM0"/>
      <w:bookmarkEnd w:id="119"/>
      <w:r>
        <w:rPr>
          <w:rStyle w:val="DeltaViewInsertion"/>
          <w:lang w:val="en-CA" w:eastAsia="en-CA"/>
        </w:rPr>
        <w:t>5.11</w:t>
        <w:tab/>
        <w:t>Promotional Mailing; Market Statistics.</w:t>
        <w:tab/>
      </w:r>
      <w:bookmarkStart w:id="120" w:name="_DV_C19"/>
      <w:bookmarkEnd w:id="118"/>
      <w:r>
        <w:rPr>
          <w:rStyle w:val="DeltaViewInsertion"/>
          <w:lang w:val="en-CA" w:eastAsia="en-CA"/>
        </w:rPr>
        <w:t>15</w:t>
      </w:r>
      <w:bookmarkEnd w:id="120"/>
    </w:p>
    <w:p>
      <w:pPr>
        <w:pStyle w:val="TOC1"/>
        <w:rPr/>
      </w:pPr>
      <w:bookmarkStart w:id="121" w:name="_DV_M103"/>
      <w:bookmarkEnd w:id="121"/>
      <w:r>
        <w:rPr/>
        <w:t>6.</w:t>
        <w:tab/>
        <w:t>Business Opportunities.</w:t>
        <w:tab/>
      </w:r>
      <w:bookmarkStart w:id="122" w:name="_DV_M104"/>
      <w:bookmarkEnd w:id="122"/>
      <w:r>
        <w:rPr/>
        <w:t>15</w:t>
      </w:r>
    </w:p>
    <w:p>
      <w:pPr>
        <w:pStyle w:val="TOC1"/>
        <w:rPr/>
      </w:pPr>
      <w:bookmarkStart w:id="123" w:name="_DV_M105"/>
      <w:bookmarkEnd w:id="123"/>
      <w:r>
        <w:rPr/>
        <w:t>7.</w:t>
        <w:tab/>
        <w:t>Miscellaneous.</w:t>
        <w:tab/>
      </w:r>
      <w:bookmarkStart w:id="124" w:name="_DV_C20"/>
      <w:r>
        <w:rPr>
          <w:rStyle w:val="DeltaViewDeletion"/>
        </w:rPr>
        <w:t>16</w:t>
      </w:r>
      <w:bookmarkStart w:id="125" w:name="_DV_C21"/>
      <w:bookmarkEnd w:id="124"/>
      <w:r>
        <w:rPr>
          <w:rStyle w:val="DeltaViewInsertion"/>
        </w:rPr>
        <w:t>17</w:t>
      </w:r>
      <w:bookmarkEnd w:id="125"/>
    </w:p>
    <w:p>
      <w:pPr>
        <w:pStyle w:val="TOC2"/>
        <w:tabs>
          <w:tab w:val="clear" w:pos="720"/>
          <w:tab w:val="left" w:pos="960" w:leader="none"/>
          <w:tab w:val="right" w:pos="9350" w:leader="dot"/>
        </w:tabs>
        <w:rPr>
          <w:lang w:val="en-CA" w:eastAsia="en-CA"/>
        </w:rPr>
      </w:pPr>
      <w:bookmarkStart w:id="126" w:name="_DV_M106"/>
      <w:bookmarkEnd w:id="126"/>
      <w:r>
        <w:rPr>
          <w:lang w:val="en-CA" w:eastAsia="en-CA"/>
        </w:rPr>
        <w:t>7.1</w:t>
        <w:tab/>
        <w:t>Confidentiality.</w:t>
        <w:tab/>
      </w:r>
      <w:bookmarkStart w:id="127" w:name="_DV_C22"/>
      <w:r>
        <w:rPr>
          <w:rStyle w:val="DeltaViewDeletion"/>
          <w:lang w:val="en-CA" w:eastAsia="en-CA"/>
        </w:rPr>
        <w:t>16</w:t>
      </w:r>
      <w:bookmarkStart w:id="128" w:name="_DV_C23"/>
      <w:bookmarkEnd w:id="127"/>
      <w:r>
        <w:rPr>
          <w:rStyle w:val="DeltaViewInsertion"/>
          <w:lang w:val="en-CA" w:eastAsia="en-CA"/>
        </w:rPr>
        <w:t>17</w:t>
      </w:r>
      <w:bookmarkEnd w:id="128"/>
    </w:p>
    <w:p>
      <w:pPr>
        <w:pStyle w:val="TOC2"/>
        <w:tabs>
          <w:tab w:val="clear" w:pos="720"/>
          <w:tab w:val="left" w:pos="960" w:leader="none"/>
          <w:tab w:val="right" w:pos="9350" w:leader="dot"/>
        </w:tabs>
        <w:rPr>
          <w:lang w:val="en-CA" w:eastAsia="en-CA"/>
        </w:rPr>
      </w:pPr>
      <w:bookmarkStart w:id="129" w:name="_DV_M107"/>
      <w:bookmarkEnd w:id="129"/>
      <w:r>
        <w:rPr>
          <w:lang w:val="en-CA" w:eastAsia="en-CA"/>
        </w:rPr>
        <w:t>7.2</w:t>
        <w:tab/>
        <w:t>Expenses.</w:t>
        <w:tab/>
      </w:r>
      <w:bookmarkStart w:id="130" w:name="_DV_M108"/>
      <w:bookmarkEnd w:id="130"/>
      <w:r>
        <w:rPr>
          <w:lang w:val="en-CA" w:eastAsia="en-CA"/>
        </w:rPr>
        <w:t>17</w:t>
      </w:r>
    </w:p>
    <w:p>
      <w:pPr>
        <w:pStyle w:val="TOC2"/>
        <w:tabs>
          <w:tab w:val="clear" w:pos="720"/>
          <w:tab w:val="left" w:pos="960" w:leader="none"/>
          <w:tab w:val="right" w:pos="9350" w:leader="dot"/>
        </w:tabs>
        <w:rPr>
          <w:lang w:val="en-CA" w:eastAsia="en-CA"/>
        </w:rPr>
      </w:pPr>
      <w:bookmarkStart w:id="131" w:name="_DV_M109"/>
      <w:bookmarkEnd w:id="131"/>
      <w:r>
        <w:rPr>
          <w:lang w:val="en-CA" w:eastAsia="en-CA"/>
        </w:rPr>
        <w:t>7.3</w:t>
        <w:tab/>
        <w:t>Survival of Representations and Warranties.</w:t>
        <w:tab/>
      </w:r>
      <w:bookmarkStart w:id="132" w:name="_DV_M110"/>
      <w:bookmarkEnd w:id="132"/>
      <w:r>
        <w:rPr>
          <w:lang w:val="en-CA" w:eastAsia="en-CA"/>
        </w:rPr>
        <w:t>17</w:t>
      </w:r>
    </w:p>
    <w:p>
      <w:pPr>
        <w:pStyle w:val="TOC2"/>
        <w:tabs>
          <w:tab w:val="clear" w:pos="720"/>
          <w:tab w:val="left" w:pos="960" w:leader="none"/>
          <w:tab w:val="right" w:pos="9350" w:leader="dot"/>
        </w:tabs>
        <w:rPr>
          <w:lang w:val="en-CA" w:eastAsia="en-CA"/>
        </w:rPr>
      </w:pPr>
      <w:bookmarkStart w:id="133" w:name="_DV_M111"/>
      <w:bookmarkEnd w:id="133"/>
      <w:r>
        <w:rPr>
          <w:lang w:val="en-CA" w:eastAsia="en-CA"/>
        </w:rPr>
        <w:t>7.4</w:t>
        <w:tab/>
        <w:t>Entire Agreement; Effect on Prior Documents.</w:t>
        <w:tab/>
      </w:r>
      <w:bookmarkStart w:id="134" w:name="_DV_C24"/>
      <w:r>
        <w:rPr>
          <w:rStyle w:val="DeltaViewDeletion"/>
          <w:lang w:val="en-CA" w:eastAsia="en-CA"/>
        </w:rPr>
        <w:t>17</w:t>
      </w:r>
      <w:bookmarkStart w:id="135" w:name="_DV_C25"/>
      <w:bookmarkEnd w:id="134"/>
      <w:r>
        <w:rPr>
          <w:rStyle w:val="DeltaViewInsertion"/>
          <w:lang w:val="en-CA" w:eastAsia="en-CA"/>
        </w:rPr>
        <w:t>18</w:t>
      </w:r>
      <w:bookmarkEnd w:id="135"/>
    </w:p>
    <w:p>
      <w:pPr>
        <w:pStyle w:val="TOC2"/>
        <w:tabs>
          <w:tab w:val="clear" w:pos="720"/>
          <w:tab w:val="left" w:pos="960" w:leader="none"/>
          <w:tab w:val="right" w:pos="9350" w:leader="dot"/>
        </w:tabs>
        <w:rPr>
          <w:lang w:val="en-CA" w:eastAsia="en-CA"/>
        </w:rPr>
      </w:pPr>
      <w:bookmarkStart w:id="136" w:name="_DV_M112"/>
      <w:bookmarkEnd w:id="136"/>
      <w:r>
        <w:rPr>
          <w:lang w:val="en-CA" w:eastAsia="en-CA"/>
        </w:rPr>
        <w:t>7.5</w:t>
        <w:tab/>
        <w:t>Notices.</w:t>
        <w:tab/>
      </w:r>
      <w:bookmarkStart w:id="137" w:name="_DV_C26"/>
      <w:r>
        <w:rPr>
          <w:rStyle w:val="DeltaViewDeletion"/>
          <w:lang w:val="en-CA" w:eastAsia="en-CA"/>
        </w:rPr>
        <w:t>17</w:t>
      </w:r>
      <w:bookmarkStart w:id="138" w:name="_DV_C27"/>
      <w:bookmarkEnd w:id="137"/>
      <w:r>
        <w:rPr>
          <w:rStyle w:val="DeltaViewInsertion"/>
          <w:lang w:val="en-CA" w:eastAsia="en-CA"/>
        </w:rPr>
        <w:t>18</w:t>
      </w:r>
      <w:bookmarkEnd w:id="138"/>
    </w:p>
    <w:p>
      <w:pPr>
        <w:pStyle w:val="TOC2"/>
        <w:tabs>
          <w:tab w:val="clear" w:pos="720"/>
          <w:tab w:val="left" w:pos="960" w:leader="none"/>
          <w:tab w:val="right" w:pos="9350" w:leader="dot"/>
        </w:tabs>
        <w:rPr>
          <w:lang w:val="en-CA" w:eastAsia="en-CA"/>
        </w:rPr>
      </w:pPr>
      <w:bookmarkStart w:id="139" w:name="_DV_M113"/>
      <w:bookmarkEnd w:id="139"/>
      <w:r>
        <w:rPr>
          <w:lang w:val="en-CA" w:eastAsia="en-CA"/>
        </w:rPr>
        <w:t>7.6</w:t>
        <w:tab/>
        <w:t>Binding Effect.</w:t>
        <w:tab/>
      </w:r>
      <w:bookmarkStart w:id="140" w:name="_DV_C28"/>
      <w:r>
        <w:rPr>
          <w:rStyle w:val="DeltaViewDeletion"/>
          <w:lang w:val="en-CA" w:eastAsia="en-CA"/>
        </w:rPr>
        <w:t>18</w:t>
      </w:r>
      <w:bookmarkStart w:id="141" w:name="_DV_C29"/>
      <w:bookmarkEnd w:id="140"/>
      <w:r>
        <w:rPr>
          <w:rStyle w:val="DeltaViewInsertion"/>
          <w:lang w:val="en-CA" w:eastAsia="en-CA"/>
        </w:rPr>
        <w:t>19</w:t>
      </w:r>
      <w:bookmarkEnd w:id="141"/>
    </w:p>
    <w:p>
      <w:pPr>
        <w:pStyle w:val="TOC2"/>
        <w:tabs>
          <w:tab w:val="clear" w:pos="720"/>
          <w:tab w:val="left" w:pos="960" w:leader="none"/>
          <w:tab w:val="right" w:pos="9350" w:leader="dot"/>
        </w:tabs>
        <w:rPr>
          <w:lang w:val="en-CA" w:eastAsia="en-CA"/>
        </w:rPr>
      </w:pPr>
      <w:bookmarkStart w:id="142" w:name="_DV_M114"/>
      <w:bookmarkEnd w:id="142"/>
      <w:r>
        <w:rPr>
          <w:lang w:val="en-CA" w:eastAsia="en-CA"/>
        </w:rPr>
        <w:t>7.7</w:t>
        <w:tab/>
        <w:t>Severability.</w:t>
        <w:tab/>
      </w:r>
      <w:bookmarkStart w:id="143" w:name="_DV_C30"/>
      <w:r>
        <w:rPr>
          <w:rStyle w:val="DeltaViewDeletion"/>
          <w:lang w:val="en-CA" w:eastAsia="en-CA"/>
        </w:rPr>
        <w:t>18</w:t>
      </w:r>
      <w:bookmarkStart w:id="144" w:name="_DV_C31"/>
      <w:bookmarkEnd w:id="143"/>
      <w:r>
        <w:rPr>
          <w:rStyle w:val="DeltaViewInsertion"/>
          <w:lang w:val="en-CA" w:eastAsia="en-CA"/>
        </w:rPr>
        <w:t>19</w:t>
      </w:r>
      <w:bookmarkEnd w:id="144"/>
    </w:p>
    <w:p>
      <w:pPr>
        <w:pStyle w:val="TOC2"/>
        <w:tabs>
          <w:tab w:val="clear" w:pos="720"/>
          <w:tab w:val="left" w:pos="960" w:leader="none"/>
          <w:tab w:val="right" w:pos="9350" w:leader="dot"/>
        </w:tabs>
        <w:rPr>
          <w:lang w:val="en-CA" w:eastAsia="en-CA"/>
        </w:rPr>
      </w:pPr>
      <w:bookmarkStart w:id="145" w:name="_DV_M115"/>
      <w:bookmarkEnd w:id="145"/>
      <w:r>
        <w:rPr>
          <w:lang w:val="en-CA" w:eastAsia="en-CA"/>
        </w:rPr>
        <w:t>7.8</w:t>
        <w:tab/>
        <w:t>Amendments; Waivers.</w:t>
        <w:tab/>
      </w:r>
      <w:bookmarkStart w:id="146" w:name="_DV_C32"/>
      <w:r>
        <w:rPr>
          <w:rStyle w:val="DeltaViewDeletion"/>
          <w:lang w:val="en-CA" w:eastAsia="en-CA"/>
        </w:rPr>
        <w:t>18</w:t>
      </w:r>
      <w:bookmarkStart w:id="147" w:name="_DV_C33"/>
      <w:bookmarkEnd w:id="146"/>
      <w:r>
        <w:rPr>
          <w:rStyle w:val="DeltaViewInsertion"/>
          <w:lang w:val="en-CA" w:eastAsia="en-CA"/>
        </w:rPr>
        <w:t>19</w:t>
      </w:r>
      <w:bookmarkEnd w:id="147"/>
    </w:p>
    <w:p>
      <w:pPr>
        <w:pStyle w:val="TOC2"/>
        <w:tabs>
          <w:tab w:val="clear" w:pos="720"/>
          <w:tab w:val="left" w:pos="960" w:leader="none"/>
          <w:tab w:val="right" w:pos="9350" w:leader="dot"/>
        </w:tabs>
        <w:rPr>
          <w:lang w:val="en-CA" w:eastAsia="en-CA"/>
        </w:rPr>
      </w:pPr>
      <w:bookmarkStart w:id="148" w:name="_DV_M116"/>
      <w:bookmarkEnd w:id="148"/>
      <w:r>
        <w:rPr>
          <w:lang w:val="en-CA" w:eastAsia="en-CA"/>
        </w:rPr>
        <w:t>7.9</w:t>
        <w:tab/>
        <w:t>Counterparts.</w:t>
        <w:tab/>
      </w:r>
      <w:bookmarkStart w:id="149" w:name="_DV_M117"/>
      <w:bookmarkEnd w:id="149"/>
      <w:r>
        <w:rPr>
          <w:lang w:val="en-CA" w:eastAsia="en-CA"/>
        </w:rPr>
        <w:t>19</w:t>
      </w:r>
    </w:p>
    <w:p>
      <w:pPr>
        <w:pStyle w:val="TOC2"/>
        <w:tabs>
          <w:tab w:val="clear" w:pos="720"/>
          <w:tab w:val="left" w:pos="960" w:leader="none"/>
          <w:tab w:val="right" w:pos="9350" w:leader="dot"/>
        </w:tabs>
        <w:rPr>
          <w:lang w:val="en-CA" w:eastAsia="en-CA"/>
        </w:rPr>
      </w:pPr>
      <w:bookmarkStart w:id="150" w:name="_DV_M118"/>
      <w:bookmarkEnd w:id="150"/>
      <w:r>
        <w:rPr>
          <w:lang w:val="en-CA" w:eastAsia="en-CA"/>
        </w:rPr>
        <w:t>7.10</w:t>
        <w:tab/>
        <w:t>Governing Law.</w:t>
        <w:tab/>
      </w:r>
      <w:bookmarkStart w:id="151" w:name="_DV_M119"/>
      <w:bookmarkEnd w:id="151"/>
      <w:r>
        <w:rPr>
          <w:lang w:val="en-CA" w:eastAsia="en-CA"/>
        </w:rPr>
        <w:t>19</w:t>
      </w:r>
    </w:p>
    <w:p>
      <w:pPr>
        <w:pStyle w:val="TOC2"/>
        <w:tabs>
          <w:tab w:val="clear" w:pos="720"/>
          <w:tab w:val="left" w:pos="960" w:leader="none"/>
          <w:tab w:val="right" w:pos="9350" w:leader="dot"/>
        </w:tabs>
        <w:rPr>
          <w:lang w:val="en-CA" w:eastAsia="en-CA"/>
        </w:rPr>
      </w:pPr>
      <w:bookmarkStart w:id="152" w:name="_DV_M120"/>
      <w:bookmarkEnd w:id="152"/>
      <w:r>
        <w:rPr>
          <w:lang w:val="en-CA" w:eastAsia="en-CA"/>
        </w:rPr>
        <w:t>7.11</w:t>
        <w:tab/>
        <w:t>Rule 144A Information.</w:t>
        <w:tab/>
      </w:r>
      <w:bookmarkStart w:id="153" w:name="_DV_C34"/>
      <w:r>
        <w:rPr>
          <w:rStyle w:val="DeltaViewDeletion"/>
          <w:lang w:val="en-CA" w:eastAsia="en-CA"/>
        </w:rPr>
        <w:t>19</w:t>
      </w:r>
      <w:bookmarkStart w:id="154" w:name="_DV_C35"/>
      <w:bookmarkEnd w:id="153"/>
      <w:r>
        <w:rPr>
          <w:rStyle w:val="DeltaViewInsertion"/>
          <w:lang w:val="en-CA" w:eastAsia="en-CA"/>
        </w:rPr>
        <w:t>20</w:t>
      </w:r>
      <w:bookmarkEnd w:id="154"/>
    </w:p>
    <w:p>
      <w:pPr>
        <w:pStyle w:val="TOC2"/>
        <w:tabs>
          <w:tab w:val="clear" w:pos="720"/>
          <w:tab w:val="left" w:pos="960" w:leader="none"/>
          <w:tab w:val="right" w:pos="9350" w:leader="dot"/>
        </w:tabs>
        <w:rPr>
          <w:lang w:val="en-CA" w:eastAsia="en-CA"/>
        </w:rPr>
      </w:pPr>
      <w:bookmarkStart w:id="155" w:name="_DV_M121"/>
      <w:bookmarkEnd w:id="155"/>
      <w:r>
        <w:rPr>
          <w:lang w:val="en-CA" w:eastAsia="en-CA"/>
        </w:rPr>
        <w:t>7.12</w:t>
        <w:tab/>
        <w:t>Arbitration.</w:t>
        <w:tab/>
      </w:r>
      <w:bookmarkStart w:id="156" w:name="_DV_M122"/>
      <w:bookmarkEnd w:id="156"/>
      <w:r>
        <w:rPr>
          <w:lang w:val="en-CA" w:eastAsia="en-CA"/>
        </w:rPr>
        <w:t>20</w:t>
      </w:r>
    </w:p>
    <w:p>
      <w:pPr>
        <w:pStyle w:val="TOC2"/>
        <w:tabs>
          <w:tab w:val="clear" w:pos="720"/>
          <w:tab w:val="left" w:pos="960" w:leader="none"/>
          <w:tab w:val="right" w:pos="9350" w:leader="dot"/>
        </w:tabs>
        <w:rPr>
          <w:lang w:val="en-CA" w:eastAsia="en-CA"/>
        </w:rPr>
      </w:pPr>
      <w:bookmarkStart w:id="157" w:name="_DV_C36"/>
      <w:bookmarkStart w:id="158" w:name="_DV_IPM1"/>
      <w:bookmarkEnd w:id="158"/>
      <w:r>
        <w:rPr>
          <w:rStyle w:val="DeltaViewInsertion"/>
          <w:lang w:val="en-CA" w:eastAsia="en-CA"/>
        </w:rPr>
        <w:t>7.13</w:t>
        <w:tab/>
        <w:t>Legend.</w:t>
        <w:tab/>
      </w:r>
      <w:bookmarkStart w:id="159" w:name="_DV_C37"/>
      <w:bookmarkEnd w:id="157"/>
      <w:r>
        <w:rPr>
          <w:rStyle w:val="DeltaViewInsertion"/>
          <w:lang w:val="en-CA" w:eastAsia="en-CA"/>
        </w:rPr>
        <w:t>22</w:t>
      </w:r>
      <w:bookmarkEnd w:id="159"/>
    </w:p>
    <w:p>
      <w:pPr>
        <w:pStyle w:val="Normal"/>
        <w:rPr>
          <w:color w:val="000000"/>
          <w:lang w:val="en-CA" w:eastAsia="en-CA"/>
        </w:rPr>
      </w:pPr>
      <w:r>
        <w:rPr>
          <w:color w:val="000000"/>
          <w:lang w:val="en-CA" w:eastAsia="en-CA"/>
        </w:rPr>
      </w:r>
    </w:p>
    <w:p>
      <w:pPr>
        <w:pStyle w:val="Normal"/>
        <w:rPr/>
      </w:pPr>
      <w:bookmarkStart w:id="160" w:name="_DV_M123"/>
      <w:bookmarkEnd w:id="160"/>
      <w:r>
        <w:rPr>
          <w:color w:val="000000"/>
        </w:rPr>
        <w:t>Exhibit A</w:t>
        <w:tab/>
        <w:tab/>
      </w:r>
      <w:bookmarkStart w:id="161" w:name="_DV_C38"/>
      <w:r>
        <w:rPr>
          <w:rStyle w:val="DeltaViewDeletion"/>
        </w:rPr>
        <w:t>Co-Marketing Agreement</w:t>
      </w:r>
      <w:bookmarkStart w:id="162" w:name="_DV_C39"/>
      <w:bookmarkEnd w:id="161"/>
      <w:r>
        <w:rPr>
          <w:rStyle w:val="DeltaViewDeletion"/>
        </w:rPr>
        <w:t>Exhibit B</w:t>
        <w:tab/>
        <w:tab/>
      </w:r>
      <w:bookmarkStart w:id="163" w:name="_DV_M124"/>
      <w:bookmarkEnd w:id="162"/>
      <w:bookmarkEnd w:id="163"/>
      <w:r>
        <w:rPr>
          <w:color w:val="000000"/>
        </w:rPr>
        <w:t>Disclosure Schedule</w:t>
      </w:r>
    </w:p>
    <w:p>
      <w:pPr>
        <w:pStyle w:val="Normal"/>
        <w:ind w:hanging="2160" w:start="2160" w:end="0"/>
        <w:rPr>
          <w:color w:val="000000"/>
        </w:rPr>
      </w:pPr>
      <w:r>
        <w:rPr>
          <w:color w:val="000000"/>
        </w:rPr>
      </w:r>
    </w:p>
    <w:p>
      <w:pPr>
        <w:pStyle w:val="Normal"/>
        <w:rPr>
          <w:color w:val="000000"/>
        </w:rPr>
      </w:pPr>
      <w:bookmarkStart w:id="164" w:name="_DV_C40"/>
      <w:r>
        <w:rPr>
          <w:rStyle w:val="DeltaViewDeletion"/>
        </w:rPr>
        <w:t>Schedule 2.2</w:t>
        <w:tab/>
        <w:tab/>
        <w:t>Subsidiaries; Equity Investments</w:t>
      </w:r>
      <w:bookmarkEnd w:id="164"/>
    </w:p>
    <w:p>
      <w:pPr>
        <w:pStyle w:val="Normal"/>
        <w:ind w:hanging="2160" w:start="2160" w:end="0"/>
        <w:rPr>
          <w:color w:val="000000"/>
        </w:rPr>
      </w:pPr>
      <w:bookmarkStart w:id="165" w:name="_DV_C41"/>
      <w:r>
        <w:rPr>
          <w:rStyle w:val="DeltaViewDeletion"/>
        </w:rPr>
        <w:t>Schedule 2.5</w:t>
        <w:tab/>
        <w:t>List of Holders of Securities; Anti-Dilution Adjustments; Preemptive Rights and Voting Agreements</w:t>
      </w:r>
      <w:bookmarkEnd w:id="165"/>
    </w:p>
    <w:p>
      <w:pPr>
        <w:pStyle w:val="Normal"/>
        <w:rPr>
          <w:color w:val="000000"/>
        </w:rPr>
      </w:pPr>
      <w:bookmarkStart w:id="166" w:name="_DV_C42"/>
      <w:r>
        <w:rPr>
          <w:rStyle w:val="DeltaViewDeletion"/>
        </w:rPr>
        <w:t>Schedule 2.6</w:t>
        <w:tab/>
        <w:tab/>
        <w:t>Liabilities</w:t>
      </w:r>
      <w:bookmarkEnd w:id="166"/>
    </w:p>
    <w:p>
      <w:pPr>
        <w:pStyle w:val="Normal"/>
        <w:rPr>
          <w:color w:val="000000"/>
        </w:rPr>
      </w:pPr>
      <w:bookmarkStart w:id="167" w:name="_DV_C43"/>
      <w:r>
        <w:rPr>
          <w:rStyle w:val="DeltaViewDeletion"/>
        </w:rPr>
        <w:t>Schedule 2.7</w:t>
        <w:tab/>
        <w:tab/>
        <w:t>Absence of Changes</w:t>
      </w:r>
      <w:bookmarkEnd w:id="167"/>
    </w:p>
    <w:p>
      <w:pPr>
        <w:pStyle w:val="Normal"/>
        <w:rPr>
          <w:color w:val="000000"/>
        </w:rPr>
      </w:pPr>
      <w:bookmarkStart w:id="168" w:name="_DV_C44"/>
      <w:r>
        <w:rPr>
          <w:rStyle w:val="DeltaViewDeletion"/>
        </w:rPr>
        <w:t>Schedule 2.10</w:t>
        <w:tab/>
        <w:tab/>
        <w:t>Intellectual Property</w:t>
      </w:r>
      <w:bookmarkEnd w:id="168"/>
    </w:p>
    <w:p>
      <w:pPr>
        <w:pStyle w:val="Normal"/>
        <w:rPr>
          <w:color w:val="000000"/>
        </w:rPr>
      </w:pPr>
      <w:bookmarkStart w:id="169" w:name="_DV_C45"/>
      <w:r>
        <w:rPr>
          <w:rStyle w:val="DeltaViewDeletion"/>
        </w:rPr>
        <w:t>Schedule 2.13</w:t>
        <w:tab/>
        <w:tab/>
        <w:t>Material Agreements</w:t>
      </w:r>
      <w:bookmarkEnd w:id="169"/>
    </w:p>
    <w:p>
      <w:pPr>
        <w:pStyle w:val="Normal"/>
        <w:rPr>
          <w:color w:val="000000"/>
        </w:rPr>
      </w:pPr>
      <w:bookmarkStart w:id="170" w:name="_DV_C46"/>
      <w:r>
        <w:rPr>
          <w:rStyle w:val="DeltaViewDeletion"/>
        </w:rPr>
        <w:t>Schedule 2.16</w:t>
        <w:tab/>
        <w:tab/>
        <w:t>Filings</w:t>
      </w:r>
      <w:bookmarkEnd w:id="170"/>
    </w:p>
    <w:p>
      <w:pPr>
        <w:pStyle w:val="Normal"/>
        <w:keepNext w:val="true"/>
        <w:rPr/>
      </w:pPr>
      <w:bookmarkStart w:id="171" w:name="_DV_M125"/>
      <w:bookmarkEnd w:id="171"/>
      <w:r>
        <w:rPr>
          <w:color w:val="000000"/>
        </w:rPr>
        <w:t xml:space="preserve">Exhibit </w:t>
      </w:r>
      <w:bookmarkStart w:id="172" w:name="_DV_C47"/>
      <w:r>
        <w:rPr>
          <w:rStyle w:val="DeltaViewDeletion"/>
        </w:rPr>
        <w:t>C</w:t>
      </w:r>
      <w:bookmarkStart w:id="173" w:name="_DV_C48"/>
      <w:bookmarkEnd w:id="172"/>
      <w:r>
        <w:rPr>
          <w:rStyle w:val="DeltaViewInsertion"/>
        </w:rPr>
        <w:t>B</w:t>
      </w:r>
      <w:bookmarkStart w:id="174" w:name="_DV_M126"/>
      <w:bookmarkEnd w:id="173"/>
      <w:bookmarkEnd w:id="174"/>
      <w:r>
        <w:rPr>
          <w:color w:val="000000"/>
        </w:rPr>
        <w:tab/>
        <w:tab/>
        <w:t>Form of Legal Opinion</w:t>
      </w:r>
    </w:p>
    <w:p>
      <w:pPr>
        <w:pStyle w:val="Normal"/>
        <w:keepNext w:val="true"/>
        <w:rPr/>
      </w:pPr>
      <w:bookmarkStart w:id="175" w:name="_DV_M127"/>
      <w:bookmarkEnd w:id="175"/>
      <w:r>
        <w:rPr>
          <w:color w:val="000000"/>
        </w:rPr>
        <w:t xml:space="preserve">Exhibit </w:t>
      </w:r>
      <w:bookmarkStart w:id="176" w:name="_DV_C49"/>
      <w:r>
        <w:rPr>
          <w:rStyle w:val="DeltaViewDeletion"/>
        </w:rPr>
        <w:t>D</w:t>
      </w:r>
      <w:bookmarkStart w:id="177" w:name="_DV_C50"/>
      <w:bookmarkEnd w:id="176"/>
      <w:r>
        <w:rPr>
          <w:rStyle w:val="DeltaViewInsertion"/>
        </w:rPr>
        <w:t>C</w:t>
      </w:r>
      <w:bookmarkStart w:id="178" w:name="_DV_M128"/>
      <w:bookmarkEnd w:id="177"/>
      <w:bookmarkEnd w:id="178"/>
      <w:r>
        <w:rPr>
          <w:color w:val="000000"/>
        </w:rPr>
        <w:tab/>
        <w:tab/>
        <w:t>[Amended and Restated] Registration Rights Agreement</w:t>
      </w:r>
    </w:p>
    <w:p>
      <w:pPr>
        <w:pStyle w:val="Normal"/>
        <w:keepNext w:val="true"/>
        <w:rPr/>
      </w:pPr>
      <w:bookmarkStart w:id="179" w:name="_DV_M129"/>
      <w:bookmarkEnd w:id="179"/>
      <w:r>
        <w:rPr>
          <w:color w:val="000000"/>
        </w:rPr>
        <w:t xml:space="preserve">Exhibit </w:t>
      </w:r>
      <w:bookmarkStart w:id="180" w:name="_DV_C51"/>
      <w:r>
        <w:rPr>
          <w:rStyle w:val="DeltaViewDeletion"/>
        </w:rPr>
        <w:t>E</w:t>
      </w:r>
      <w:bookmarkStart w:id="181" w:name="_DV_C52"/>
      <w:bookmarkEnd w:id="180"/>
      <w:r>
        <w:rPr>
          <w:rStyle w:val="DeltaViewInsertion"/>
        </w:rPr>
        <w:t>D</w:t>
      </w:r>
      <w:bookmarkStart w:id="182" w:name="_DV_M130"/>
      <w:bookmarkEnd w:id="181"/>
      <w:bookmarkEnd w:id="182"/>
      <w:r>
        <w:rPr>
          <w:color w:val="000000"/>
        </w:rPr>
        <w:tab/>
        <w:tab/>
        <w:t>Stockholders’ Agreement</w:t>
      </w:r>
    </w:p>
    <w:p>
      <w:pPr>
        <w:pStyle w:val="Normal"/>
        <w:keepNext w:val="true"/>
        <w:rPr/>
      </w:pPr>
      <w:bookmarkStart w:id="183" w:name="_DV_M131"/>
      <w:bookmarkEnd w:id="183"/>
      <w:r>
        <w:rPr>
          <w:color w:val="000000"/>
        </w:rPr>
        <w:t xml:space="preserve">Exhibit </w:t>
      </w:r>
      <w:bookmarkStart w:id="184" w:name="_DV_C53"/>
      <w:r>
        <w:rPr>
          <w:rStyle w:val="DeltaViewDeletion"/>
        </w:rPr>
        <w:t>F</w:t>
      </w:r>
      <w:bookmarkStart w:id="185" w:name="_DV_C54"/>
      <w:bookmarkEnd w:id="184"/>
      <w:r>
        <w:rPr>
          <w:rStyle w:val="DeltaViewInsertion"/>
        </w:rPr>
        <w:t>E</w:t>
      </w:r>
      <w:bookmarkStart w:id="186" w:name="_DV_M132"/>
      <w:bookmarkEnd w:id="185"/>
      <w:bookmarkEnd w:id="186"/>
      <w:r>
        <w:rPr>
          <w:color w:val="000000"/>
        </w:rPr>
        <w:tab/>
        <w:tab/>
        <w:t>Employment Agreement</w:t>
      </w:r>
    </w:p>
    <w:p>
      <w:pPr>
        <w:pStyle w:val="Normal"/>
        <w:keepNext w:val="true"/>
        <w:ind w:hanging="2160" w:start="2160" w:end="0"/>
        <w:rPr>
          <w:color w:val="000000"/>
        </w:rPr>
      </w:pPr>
      <w:bookmarkStart w:id="187" w:name="_DV_C55"/>
      <w:bookmarkStart w:id="188" w:name="_DV_IPM2"/>
      <w:bookmarkEnd w:id="188"/>
      <w:r>
        <w:rPr>
          <w:rStyle w:val="DeltaViewInsertion"/>
        </w:rPr>
        <w:t>Exhibit F</w:t>
        <w:tab/>
        <w:t>Form of Press Release and Promotional Materials and Schedule of Statistical Information</w:t>
      </w:r>
      <w:bookmarkEnd w:id="187"/>
    </w:p>
    <w:p>
      <w:pPr>
        <w:pStyle w:val="Normal"/>
        <w:ind w:hanging="2160" w:start="2160" w:end="0"/>
        <w:rPr>
          <w:color w:val="000000"/>
        </w:rPr>
      </w:pPr>
      <w:r>
        <w:rPr>
          <w:color w:val="000000"/>
        </w:rPr>
      </w:r>
      <w:bookmarkStart w:id="189" w:name="_DV_IPM3"/>
      <w:bookmarkStart w:id="190" w:name="_DV_IPM3"/>
      <w:bookmarkEnd w:id="190"/>
    </w:p>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start="1" w:fmt="lowerRoman"/>
          <w:formProt w:val="false"/>
          <w:textDirection w:val="lrTb"/>
          <w:docGrid w:type="default" w:linePitch="360" w:charSpace="0"/>
        </w:sectPr>
        <w:pStyle w:val="Normal"/>
        <w:rPr>
          <w:color w:val="000000"/>
        </w:rPr>
      </w:pPr>
      <w:r>
        <w:rPr>
          <w:color w:val="000000"/>
        </w:rPr>
      </w:r>
    </w:p>
    <w:p>
      <w:pPr>
        <w:pStyle w:val="Heading"/>
        <w:rPr>
          <w:color w:val="000000"/>
          <w:u w:val="single"/>
        </w:rPr>
      </w:pPr>
      <w:bookmarkStart w:id="193" w:name="_DV_M133"/>
      <w:bookmarkEnd w:id="193"/>
      <w:r>
        <w:rPr>
          <w:color w:val="000000"/>
          <w:u w:val="single"/>
        </w:rPr>
        <w:t>COMMON STOCK PURCHASE AGREEMENT</w:t>
      </w:r>
    </w:p>
    <w:p>
      <w:pPr>
        <w:pStyle w:val="BodyText"/>
        <w:jc w:val="both"/>
        <w:rPr/>
      </w:pPr>
      <w:bookmarkStart w:id="194" w:name="_DV_M134"/>
      <w:bookmarkEnd w:id="194"/>
      <w:r>
        <w:rPr>
          <w:color w:val="000000"/>
        </w:rPr>
        <w:t>THIS COMMON STOCK PURCHASE AGREEMENT is made and entered into as of the ___ day of ________, 2001, by and between Kiodex, Inc., a Delaware  corporation (the “</w:t>
      </w:r>
      <w:r>
        <w:rPr>
          <w:color w:val="000000"/>
          <w:u w:val="single"/>
        </w:rPr>
        <w:t>Company</w:t>
      </w:r>
      <w:r>
        <w:rPr>
          <w:color w:val="000000"/>
        </w:rPr>
        <w:t>”), and Enron Net Works Investments LLC (the “</w:t>
      </w:r>
      <w:r>
        <w:rPr>
          <w:color w:val="000000"/>
          <w:u w:val="single"/>
        </w:rPr>
        <w:t>Investor</w:t>
      </w:r>
      <w:r>
        <w:rPr>
          <w:color w:val="000000"/>
        </w:rPr>
        <w:t>”), a Delaware limited liability company.</w:t>
      </w:r>
    </w:p>
    <w:p>
      <w:pPr>
        <w:pStyle w:val="BodyText"/>
        <w:jc w:val="both"/>
        <w:rPr>
          <w:color w:val="000000"/>
        </w:rPr>
      </w:pPr>
      <w:bookmarkStart w:id="195" w:name="_DV_M135"/>
      <w:bookmarkEnd w:id="195"/>
      <w:r>
        <w:rPr>
          <w:color w:val="000000"/>
        </w:rPr>
        <w:t>In consideration of the mutual covenants herein contained, and for other good and valuable consideration, the receipt and sufficiency of which are hereby acknowledged, the parties agree as follows:</w:t>
      </w:r>
    </w:p>
    <w:p>
      <w:pPr>
        <w:pStyle w:val="Heading1"/>
        <w:rPr>
          <w:color w:val="000000"/>
        </w:rPr>
      </w:pPr>
      <w:bookmarkStart w:id="196" w:name="_DV_M136"/>
      <w:bookmarkEnd w:id="196"/>
      <w:r>
        <w:rPr>
          <w:color w:val="000000"/>
        </w:rPr>
        <w:t>Sale and Purchase of the Common Stock</w:t>
      </w:r>
      <w:r>
        <w:rPr>
          <w:color w:val="000000"/>
          <w:u w:val="none"/>
        </w:rPr>
        <w:t>.</w:t>
      </w:r>
    </w:p>
    <w:p>
      <w:pPr>
        <w:pStyle w:val="Heading2"/>
        <w:rPr>
          <w:vanish/>
          <w:color w:val="000000"/>
        </w:rPr>
      </w:pPr>
      <w:bookmarkStart w:id="197" w:name="_DV_M137"/>
      <w:bookmarkEnd w:id="197"/>
      <w:r>
        <w:rPr>
          <w:color w:val="000000"/>
        </w:rPr>
        <w:t>Sale and Purchase</w:t>
      </w:r>
      <w:r>
        <w:rPr>
          <w:color w:val="000000"/>
          <w:u w:val="none"/>
        </w:rPr>
        <w:t>.</w:t>
      </w:r>
    </w:p>
    <w:p>
      <w:pPr>
        <w:pStyle w:val="BodyText4"/>
        <w:rPr/>
      </w:pPr>
      <w:bookmarkStart w:id="198" w:name="_DV_M138"/>
      <w:bookmarkEnd w:id="198"/>
      <w:r>
        <w:rPr>
          <w:color w:val="000000"/>
        </w:rPr>
        <w:t xml:space="preserve">  </w:t>
      </w:r>
      <w:r>
        <w:rPr>
          <w:color w:val="000000"/>
        </w:rPr>
        <w:t>The Company agrees to sell to the Investor, and the Investor agrees to purchase from the Company, upon the terms and conditions of this Agreement, at the Closing, 3,799,353 shares of Common Stock, par value $.001 per share (the “</w:t>
      </w:r>
      <w:r>
        <w:rPr>
          <w:color w:val="000000"/>
          <w:u w:val="single"/>
        </w:rPr>
        <w:t>Common Stock</w:t>
      </w:r>
      <w:r>
        <w:rPr>
          <w:color w:val="000000"/>
        </w:rPr>
        <w:t>”), for the consideration set forth in Section 1.2.  The shares of Common Stock referred to in this Section 1.1 are referred to herein sometimes as the “</w:t>
      </w:r>
      <w:r>
        <w:rPr>
          <w:color w:val="000000"/>
          <w:u w:val="single"/>
        </w:rPr>
        <w:t>Shares</w:t>
      </w:r>
      <w:r>
        <w:rPr>
          <w:color w:val="000000"/>
        </w:rPr>
        <w:t>”.</w:t>
      </w:r>
    </w:p>
    <w:p>
      <w:pPr>
        <w:pStyle w:val="Heading2"/>
        <w:rPr>
          <w:vanish/>
          <w:color w:val="000000"/>
        </w:rPr>
      </w:pPr>
      <w:bookmarkStart w:id="199" w:name="_DV_M139"/>
      <w:bookmarkEnd w:id="199"/>
      <w:r>
        <w:rPr>
          <w:color w:val="000000"/>
        </w:rPr>
        <w:t>The Closing</w:t>
      </w:r>
      <w:r>
        <w:rPr>
          <w:color w:val="000000"/>
          <w:u w:val="none"/>
        </w:rPr>
        <w:t>.</w:t>
      </w:r>
    </w:p>
    <w:p>
      <w:pPr>
        <w:pStyle w:val="BodyText4"/>
        <w:rPr/>
      </w:pPr>
      <w:bookmarkStart w:id="200" w:name="_DV_M140"/>
      <w:bookmarkEnd w:id="200"/>
      <w:r>
        <w:rPr>
          <w:color w:val="000000"/>
        </w:rPr>
        <w:t xml:space="preserve">  </w:t>
      </w:r>
      <w:r>
        <w:rPr>
          <w:color w:val="000000"/>
        </w:rPr>
        <w:t>The closing of the sale and purchase of the Shares pursuant to this Agreement (the “</w:t>
      </w:r>
      <w:r>
        <w:rPr>
          <w:color w:val="000000"/>
          <w:u w:val="single"/>
        </w:rPr>
        <w:t>Closing</w:t>
      </w:r>
      <w:r>
        <w:rPr>
          <w:color w:val="000000"/>
        </w:rPr>
        <w:t xml:space="preserve">”) shall take place at the offices of Morrison and Foerster LLP, 1290 Avenue of the Americas, New York, New York 10104, at 10:00 A.M. on ___________, 2001, or at such other place, time and date as the Company and the Investor may agree upon.  At the Closing, the Company shall deliver to the Investor a stock certificate, registered in the name of the Investor, representing the Shares.  Delivery </w:t>
      </w:r>
      <w:bookmarkStart w:id="201" w:name="_DV_C60"/>
      <w:r>
        <w:rPr>
          <w:rStyle w:val="DeltaViewInsertion"/>
        </w:rPr>
        <w:t xml:space="preserve">of the Shares </w:t>
      </w:r>
      <w:bookmarkStart w:id="202" w:name="_DV_M141"/>
      <w:bookmarkEnd w:id="201"/>
      <w:bookmarkEnd w:id="202"/>
      <w:r>
        <w:rPr>
          <w:color w:val="000000"/>
        </w:rPr>
        <w:t xml:space="preserve">to the Investor shall be made </w:t>
      </w:r>
      <w:bookmarkStart w:id="203" w:name="_DV_C61"/>
      <w:r>
        <w:rPr>
          <w:rStyle w:val="DeltaViewDeletion"/>
        </w:rPr>
        <w:t>against payment to the Company of the full amount of the purchase price</w:t>
      </w:r>
      <w:bookmarkStart w:id="204" w:name="_DV_C62"/>
      <w:bookmarkEnd w:id="203"/>
      <w:r>
        <w:rPr>
          <w:rStyle w:val="DeltaViewInsertion"/>
        </w:rPr>
        <w:t>in exchange</w:t>
      </w:r>
      <w:bookmarkStart w:id="205" w:name="_DV_M142"/>
      <w:bookmarkEnd w:id="204"/>
      <w:bookmarkEnd w:id="205"/>
      <w:r>
        <w:rPr>
          <w:color w:val="000000"/>
        </w:rPr>
        <w:t xml:space="preserve"> for the </w:t>
      </w:r>
      <w:bookmarkStart w:id="206" w:name="_DV_C63"/>
      <w:r>
        <w:rPr>
          <w:rStyle w:val="DeltaViewDeletion"/>
        </w:rPr>
        <w:t>Shares being purchased by the Investor.</w:t>
      </w:r>
      <w:bookmarkStart w:id="207" w:name="_DV_C64"/>
      <w:bookmarkEnd w:id="206"/>
      <w:r>
        <w:rPr>
          <w:rStyle w:val="DeltaViewInsertion"/>
        </w:rPr>
        <w:t>following consideration:</w:t>
      </w:r>
      <w:bookmarkStart w:id="208" w:name="_DV_M143"/>
      <w:bookmarkEnd w:id="207"/>
      <w:bookmarkEnd w:id="208"/>
      <w:r>
        <w:rPr>
          <w:color w:val="000000"/>
        </w:rPr>
        <w:t xml:space="preserve">  </w:t>
      </w:r>
      <w:bookmarkStart w:id="209" w:name="_DV_C65"/>
      <w:r>
        <w:rPr>
          <w:rStyle w:val="DeltaViewDeletion"/>
        </w:rPr>
        <w:t xml:space="preserve">Such payment shall be made by </w:t>
      </w:r>
      <w:bookmarkStart w:id="210" w:name="_DV_M144"/>
      <w:bookmarkEnd w:id="209"/>
      <w:bookmarkEnd w:id="210"/>
      <w:r>
        <w:rPr>
          <w:color w:val="000000"/>
        </w:rPr>
        <w:t>(i)</w:t>
      </w:r>
      <w:bookmarkStart w:id="211" w:name="_DV_C66"/>
      <w:r>
        <w:rPr>
          <w:rStyle w:val="DeltaViewInsertion"/>
        </w:rPr>
        <w:t> payment by the Investor to the Company by</w:t>
      </w:r>
      <w:bookmarkStart w:id="212" w:name="_DV_M145"/>
      <w:bookmarkEnd w:id="211"/>
      <w:bookmarkEnd w:id="212"/>
      <w:r>
        <w:rPr>
          <w:color w:val="000000"/>
        </w:rPr>
        <w:t xml:space="preserve"> delivery of a certified or bank cashier’s check payable to the order of the Company or by wire transfer of immediately available funds to an account specified in writing by the Company </w:t>
      </w:r>
      <w:bookmarkStart w:id="213" w:name="_DV_C67"/>
      <w:r>
        <w:rPr>
          <w:rStyle w:val="DeltaViewDeletion"/>
        </w:rPr>
        <w:t xml:space="preserve">in the amount </w:t>
      </w:r>
      <w:bookmarkStart w:id="214" w:name="_DV_M146"/>
      <w:bookmarkEnd w:id="213"/>
      <w:bookmarkEnd w:id="214"/>
      <w:r>
        <w:rPr>
          <w:color w:val="000000"/>
        </w:rPr>
        <w:t>of $</w:t>
      </w:r>
      <w:bookmarkStart w:id="215" w:name="_DV_C68"/>
      <w:r>
        <w:rPr>
          <w:rStyle w:val="DeltaViewDeletion"/>
        </w:rPr>
        <w:t>3,800 and</w:t>
      </w:r>
      <w:bookmarkStart w:id="216" w:name="_DV_C69"/>
      <w:bookmarkEnd w:id="215"/>
      <w:r>
        <w:rPr>
          <w:rStyle w:val="DeltaViewInsertion"/>
        </w:rPr>
        <w:t>3,800,</w:t>
      </w:r>
      <w:bookmarkStart w:id="217" w:name="_DV_M147"/>
      <w:bookmarkEnd w:id="216"/>
      <w:bookmarkEnd w:id="217"/>
      <w:r>
        <w:rPr>
          <w:color w:val="000000"/>
        </w:rPr>
        <w:t xml:space="preserve"> (ii)</w:t>
      </w:r>
      <w:bookmarkStart w:id="218" w:name="_DV_C70"/>
      <w:r>
        <w:rPr>
          <w:rStyle w:val="DeltaViewDeletion"/>
        </w:rPr>
        <w:t xml:space="preserve"> execution</w:t>
      </w:r>
      <w:bookmarkStart w:id="219" w:name="_DV_C71"/>
      <w:bookmarkEnd w:id="218"/>
      <w:r>
        <w:rPr>
          <w:rStyle w:val="DeltaViewInsertion"/>
        </w:rPr>
        <w:t>  the Investor’s agreement to publish a joint press release with the Company pursuant to Section 5.11 hereof, (iii) the Investor’s agreement to mail promotional material regarding the Company to the Investor’s customers pursuant to Section 5.11 hereof</w:t>
      </w:r>
      <w:bookmarkStart w:id="220" w:name="_DV_M148"/>
      <w:bookmarkEnd w:id="219"/>
      <w:bookmarkEnd w:id="220"/>
      <w:r>
        <w:rPr>
          <w:color w:val="000000"/>
        </w:rPr>
        <w:t xml:space="preserve"> and </w:t>
      </w:r>
      <w:bookmarkStart w:id="221" w:name="_DV_C72"/>
      <w:r>
        <w:rPr>
          <w:rStyle w:val="DeltaViewDeletion"/>
        </w:rPr>
        <w:t xml:space="preserve">delivery by </w:t>
      </w:r>
      <w:bookmarkStart w:id="222" w:name="_DV_C73"/>
      <w:bookmarkEnd w:id="221"/>
      <w:r>
        <w:rPr>
          <w:rStyle w:val="DeltaViewInsertion"/>
        </w:rPr>
        <w:t>(iv) </w:t>
      </w:r>
      <w:bookmarkStart w:id="223" w:name="_DV_M149"/>
      <w:bookmarkEnd w:id="222"/>
      <w:bookmarkEnd w:id="223"/>
      <w:r>
        <w:rPr>
          <w:color w:val="000000"/>
        </w:rPr>
        <w:t>the Investor</w:t>
      </w:r>
      <w:bookmarkStart w:id="224" w:name="_DV_C74"/>
      <w:r>
        <w:rPr>
          <w:rStyle w:val="DeltaViewDeletion"/>
        </w:rPr>
        <w:t xml:space="preserve"> of</w:t>
      </w:r>
      <w:bookmarkStart w:id="225" w:name="_DV_C75"/>
      <w:bookmarkEnd w:id="224"/>
      <w:r>
        <w:rPr>
          <w:rStyle w:val="DeltaViewInsertion"/>
        </w:rPr>
        <w:t>’s agreement to provide market statistics to</w:t>
      </w:r>
      <w:bookmarkStart w:id="226" w:name="_DV_M150"/>
      <w:bookmarkEnd w:id="225"/>
      <w:bookmarkEnd w:id="226"/>
      <w:r>
        <w:rPr>
          <w:color w:val="000000"/>
        </w:rPr>
        <w:t xml:space="preserve"> the </w:t>
      </w:r>
      <w:bookmarkStart w:id="227" w:name="_DV_C76"/>
      <w:r>
        <w:rPr>
          <w:rStyle w:val="DeltaViewDeletion"/>
        </w:rPr>
        <w:t xml:space="preserve">Co-Marketing Agreement attached hereto as </w:t>
      </w:r>
      <w:r>
        <w:rPr>
          <w:rStyle w:val="DeltaViewDeletion"/>
          <w:u w:val="single"/>
        </w:rPr>
        <w:t>Exhibit A</w:t>
      </w:r>
      <w:r>
        <w:rPr>
          <w:rStyle w:val="DeltaViewDeletion"/>
        </w:rPr>
        <w:t xml:space="preserve"> (the “</w:t>
      </w:r>
      <w:r>
        <w:rPr>
          <w:rStyle w:val="DeltaViewDeletion"/>
          <w:u w:val="single"/>
        </w:rPr>
        <w:t>Co-Marketing Agreement</w:t>
      </w:r>
      <w:r>
        <w:rPr>
          <w:rStyle w:val="DeltaViewDeletion"/>
        </w:rPr>
        <w:t>”)</w:t>
      </w:r>
      <w:bookmarkStart w:id="228" w:name="_DV_C77"/>
      <w:bookmarkEnd w:id="227"/>
      <w:r>
        <w:rPr>
          <w:rStyle w:val="DeltaViewInsertion"/>
        </w:rPr>
        <w:t>Company pursuant to Section 5.11 hereof</w:t>
      </w:r>
      <w:bookmarkStart w:id="229" w:name="_DV_M151"/>
      <w:bookmarkEnd w:id="228"/>
      <w:bookmarkEnd w:id="229"/>
      <w:r>
        <w:rPr>
          <w:color w:val="000000"/>
        </w:rPr>
        <w:t>.  The date of the Closing is hereinafter referred to herein as the “</w:t>
      </w:r>
      <w:r>
        <w:rPr>
          <w:color w:val="000000"/>
          <w:u w:val="single"/>
        </w:rPr>
        <w:t>Closing Date</w:t>
      </w:r>
      <w:r>
        <w:rPr>
          <w:color w:val="000000"/>
        </w:rPr>
        <w:t>”.</w:t>
      </w:r>
    </w:p>
    <w:p>
      <w:pPr>
        <w:pStyle w:val="Heading1"/>
        <w:jc w:val="both"/>
        <w:rPr>
          <w:vanish/>
          <w:color w:val="000000"/>
        </w:rPr>
      </w:pPr>
      <w:bookmarkStart w:id="230" w:name="_DV_M152"/>
      <w:bookmarkEnd w:id="230"/>
      <w:r>
        <w:rPr>
          <w:color w:val="000000"/>
        </w:rPr>
        <w:t>Representations and Warranties of the Company</w:t>
      </w:r>
      <w:r>
        <w:rPr>
          <w:color w:val="000000"/>
          <w:u w:val="none"/>
        </w:rPr>
        <w:t>.</w:t>
      </w:r>
    </w:p>
    <w:p>
      <w:pPr>
        <w:pStyle w:val="BodyText4"/>
        <w:rPr/>
      </w:pPr>
      <w:bookmarkStart w:id="231" w:name="_DV_M153"/>
      <w:bookmarkEnd w:id="231"/>
      <w:r>
        <w:rPr>
          <w:color w:val="000000"/>
        </w:rPr>
        <w:t xml:space="preserve">  </w:t>
      </w:r>
      <w:r>
        <w:rPr>
          <w:color w:val="000000"/>
        </w:rPr>
        <w:t xml:space="preserve">Subject to and except as disclosed to the Investor on the Disclosure Schedule attached hereto as </w:t>
      </w:r>
      <w:r>
        <w:rPr>
          <w:color w:val="000000"/>
          <w:u w:val="single"/>
        </w:rPr>
        <w:t xml:space="preserve">Exhibit </w:t>
      </w:r>
      <w:bookmarkStart w:id="232" w:name="_DV_C78"/>
      <w:r>
        <w:rPr>
          <w:rStyle w:val="DeltaViewDeletion"/>
          <w:u w:val="single"/>
        </w:rPr>
        <w:t>B</w:t>
      </w:r>
      <w:bookmarkStart w:id="233" w:name="_DV_C79"/>
      <w:bookmarkEnd w:id="232"/>
      <w:r>
        <w:rPr>
          <w:rStyle w:val="DeltaViewInsertion"/>
        </w:rPr>
        <w:t>A</w:t>
      </w:r>
      <w:bookmarkStart w:id="234" w:name="_DV_M154"/>
      <w:bookmarkEnd w:id="233"/>
      <w:bookmarkEnd w:id="234"/>
      <w:r>
        <w:rPr>
          <w:color w:val="000000"/>
        </w:rPr>
        <w:t xml:space="preserve"> (the “</w:t>
      </w:r>
      <w:r>
        <w:rPr>
          <w:color w:val="000000"/>
          <w:u w:val="single"/>
        </w:rPr>
        <w:t>Disclosure Schedule</w:t>
      </w:r>
      <w:r>
        <w:rPr>
          <w:color w:val="000000"/>
        </w:rPr>
        <w:t>”) (</w:t>
      </w:r>
      <w:r>
        <w:rPr>
          <w:color w:val="000000"/>
          <w:u w:val="single"/>
        </w:rPr>
        <w:t xml:space="preserve">Exhibit </w:t>
      </w:r>
      <w:bookmarkStart w:id="235" w:name="_DV_C80"/>
      <w:r>
        <w:rPr>
          <w:rStyle w:val="DeltaViewDeletion"/>
          <w:u w:val="single"/>
        </w:rPr>
        <w:t>B</w:t>
      </w:r>
      <w:bookmarkStart w:id="236" w:name="_DV_C81"/>
      <w:bookmarkEnd w:id="235"/>
      <w:r>
        <w:rPr>
          <w:rStyle w:val="DeltaViewInsertion"/>
        </w:rPr>
        <w:t>A</w:t>
      </w:r>
      <w:bookmarkStart w:id="237" w:name="_DV_M155"/>
      <w:bookmarkEnd w:id="236"/>
      <w:bookmarkEnd w:id="237"/>
      <w:r>
        <w:rPr>
          <w:color w:val="000000"/>
        </w:rPr>
        <w:t xml:space="preserve"> shall be arranged in paragraphs corresponding to the numbered and lettered paragraphs contained in this Section 2, and the disclosures in any paragraph of </w:t>
      </w:r>
      <w:r>
        <w:rPr>
          <w:color w:val="000000"/>
          <w:u w:val="single"/>
        </w:rPr>
        <w:t xml:space="preserve">Exhibit </w:t>
      </w:r>
      <w:bookmarkStart w:id="238" w:name="_DV_C82"/>
      <w:r>
        <w:rPr>
          <w:rStyle w:val="DeltaViewDeletion"/>
          <w:u w:val="single"/>
        </w:rPr>
        <w:t>B</w:t>
      </w:r>
      <w:bookmarkStart w:id="239" w:name="_DV_C83"/>
      <w:bookmarkEnd w:id="238"/>
      <w:r>
        <w:rPr>
          <w:rStyle w:val="DeltaViewInsertion"/>
        </w:rPr>
        <w:t>A</w:t>
      </w:r>
      <w:bookmarkStart w:id="240" w:name="_DV_M156"/>
      <w:bookmarkEnd w:id="239"/>
      <w:bookmarkEnd w:id="240"/>
      <w:r>
        <w:rPr>
          <w:color w:val="000000"/>
        </w:rPr>
        <w:t xml:space="preserve"> shall qualify only (i) the corresponding paragraph of this Section 2 and (ii) other paragraphs of this Section 2 to the extent it is clear from a specific cross reference that such disclosure is applicable to such other paragraph), the Company represents and warrants to the Investor as follows:</w:t>
      </w:r>
    </w:p>
    <w:p>
      <w:pPr>
        <w:pStyle w:val="Heading2"/>
        <w:rPr>
          <w:vanish/>
          <w:color w:val="000000"/>
        </w:rPr>
      </w:pPr>
      <w:bookmarkStart w:id="241" w:name="_DV_M157"/>
      <w:bookmarkEnd w:id="241"/>
      <w:r>
        <w:rPr>
          <w:color w:val="000000"/>
        </w:rPr>
        <w:t>Organization</w:t>
      </w:r>
      <w:r>
        <w:rPr>
          <w:color w:val="000000"/>
          <w:u w:val="none"/>
        </w:rPr>
        <w:t>.</w:t>
      </w:r>
    </w:p>
    <w:p>
      <w:pPr>
        <w:pStyle w:val="BodyText4"/>
        <w:rPr/>
      </w:pPr>
      <w:bookmarkStart w:id="242" w:name="_DV_M158"/>
      <w:bookmarkEnd w:id="242"/>
      <w:r>
        <w:rPr>
          <w:color w:val="000000"/>
        </w:rPr>
        <w:t xml:space="preserve">  </w:t>
      </w:r>
      <w:r>
        <w:rPr>
          <w:color w:val="000000"/>
        </w:rPr>
        <w:t>The Company is a corporation duly organized, validly existing and in good standing under the laws of the State of Delaware and has all requisite corporate power and authority and all governmental licenses, permits, authorizations, consents and approvals required to own and lease its properties, to carry on its business as currently conducted and as proposed to be conducted and to enter into and perform this Agreement, the Stockholders’ Agreement (as herein defined)</w:t>
      </w:r>
      <w:bookmarkStart w:id="243" w:name="_DV_C84"/>
      <w:r>
        <w:rPr>
          <w:rStyle w:val="DeltaViewDeletion"/>
        </w:rPr>
        <w:t>,</w:t>
      </w:r>
      <w:bookmarkStart w:id="244" w:name="_DV_C85"/>
      <w:bookmarkEnd w:id="243"/>
      <w:r>
        <w:rPr>
          <w:rStyle w:val="DeltaViewInsertion"/>
        </w:rPr>
        <w:t xml:space="preserve"> and</w:t>
      </w:r>
      <w:bookmarkStart w:id="245" w:name="_DV_M159"/>
      <w:bookmarkEnd w:id="244"/>
      <w:bookmarkEnd w:id="245"/>
      <w:r>
        <w:rPr>
          <w:color w:val="000000"/>
        </w:rPr>
        <w:t xml:space="preserve"> the [Amended and Restated] Registration Rights Agreement (as herein defined)</w:t>
      </w:r>
      <w:bookmarkStart w:id="246" w:name="_DV_C86"/>
      <w:r>
        <w:rPr>
          <w:rStyle w:val="DeltaViewDeletion"/>
        </w:rPr>
        <w:t>, the Co-Marketing Agreement and the Warrant (as defined in the Co-Marketing Agreement)</w:t>
      </w:r>
      <w:bookmarkStart w:id="247" w:name="_DV_M160"/>
      <w:bookmarkEnd w:id="246"/>
      <w:bookmarkEnd w:id="247"/>
      <w:r>
        <w:rPr>
          <w:color w:val="000000"/>
        </w:rPr>
        <w:t xml:space="preserve"> (collectively, the “</w:t>
      </w:r>
      <w:r>
        <w:rPr>
          <w:color w:val="000000"/>
          <w:u w:val="single"/>
        </w:rPr>
        <w:t>Related Agreements</w:t>
      </w:r>
      <w:r>
        <w:rPr>
          <w:color w:val="000000"/>
        </w:rPr>
        <w:t>”), and to carry out the transactions contemplated hereby and thereby.  The Company is duly qualified as a foreign corporation and is in good standing in the State of New York and in all such other jurisdictions in which the conduct of its business or its ownership or leasing of property requires such qualification, and in which failure to qualify would have a material adverse effect on the business, prospects, assets, condition (financial or otherwise) or results of operations of the Company and its subsidiaries taken as a whole (a “</w:t>
      </w:r>
      <w:r>
        <w:rPr>
          <w:color w:val="000000"/>
          <w:u w:val="single"/>
        </w:rPr>
        <w:t>Material Adverse Effect</w:t>
      </w:r>
      <w:r>
        <w:rPr>
          <w:color w:val="000000"/>
        </w:rPr>
        <w:t>”).  The Company has furnished to the Investor true and complete copies of its Certificate of Incorporation (the “</w:t>
      </w:r>
      <w:r>
        <w:rPr>
          <w:color w:val="000000"/>
          <w:u w:val="single"/>
        </w:rPr>
        <w:t>Certificate of Incorporation</w:t>
      </w:r>
      <w:r>
        <w:rPr>
          <w:color w:val="000000"/>
        </w:rPr>
        <w:t>”) and By-Laws, as amended to date and presently in effect.</w:t>
      </w:r>
    </w:p>
    <w:p>
      <w:pPr>
        <w:pStyle w:val="Heading2"/>
        <w:rPr>
          <w:vanish/>
          <w:color w:val="000000"/>
        </w:rPr>
      </w:pPr>
      <w:bookmarkStart w:id="248" w:name="_DV_M161"/>
      <w:bookmarkEnd w:id="248"/>
      <w:r>
        <w:rPr>
          <w:color w:val="000000"/>
        </w:rPr>
        <w:t>Subsidiaries, Etc</w:t>
      </w:r>
      <w:r>
        <w:rPr>
          <w:color w:val="000000"/>
          <w:u w:val="none"/>
        </w:rPr>
        <w:t>.</w:t>
      </w:r>
    </w:p>
    <w:p>
      <w:pPr>
        <w:pStyle w:val="BodyText4"/>
        <w:rPr/>
      </w:pPr>
      <w:bookmarkStart w:id="249" w:name="_DV_M162"/>
      <w:bookmarkEnd w:id="249"/>
      <w:r>
        <w:rPr>
          <w:color w:val="000000"/>
        </w:rPr>
        <w:t xml:space="preserve">  </w:t>
      </w:r>
      <w:r>
        <w:rPr>
          <w:color w:val="000000"/>
        </w:rPr>
        <w:t xml:space="preserve">Except as set forth in </w:t>
      </w:r>
      <w:r>
        <w:rPr>
          <w:b/>
          <w:bCs/>
          <w:color w:val="000000"/>
          <w:u w:val="single"/>
        </w:rPr>
        <w:t>Schedule 2.2</w:t>
      </w:r>
      <w:r>
        <w:rPr>
          <w:color w:val="000000"/>
        </w:rPr>
        <w:t>, the Company has no Subsidiaries and does not own or control, directly or indirectly, any shares of capital stock of any other corporation or any interest in any partnership, joint venture or other non-corporate business enterprise.  “</w:t>
      </w:r>
      <w:r>
        <w:rPr>
          <w:color w:val="000000"/>
          <w:u w:val="single"/>
        </w:rPr>
        <w:t>Subsidiary</w:t>
      </w:r>
      <w:r>
        <w:rPr>
          <w:color w:val="000000"/>
        </w:rPr>
        <w:t>” means, with respect to any person, any corporation or other organization, whether incorporated or unincorporated, of which more than fifty percent (50%) of either the equity interests in, or the voting control of, such corporation or other organization is, directly or indirectly or otherwise, beneficially owned by such person.</w:t>
      </w:r>
    </w:p>
    <w:p>
      <w:pPr>
        <w:pStyle w:val="Heading2"/>
        <w:rPr>
          <w:vanish/>
          <w:color w:val="000000"/>
        </w:rPr>
      </w:pPr>
      <w:bookmarkStart w:id="250" w:name="_DV_M163"/>
      <w:bookmarkEnd w:id="250"/>
      <w:r>
        <w:rPr>
          <w:color w:val="000000"/>
        </w:rPr>
        <w:t>Authorization of this Agreement and Related Agreements</w:t>
      </w:r>
      <w:r>
        <w:rPr>
          <w:color w:val="000000"/>
          <w:u w:val="none"/>
        </w:rPr>
        <w:t>.</w:t>
      </w:r>
    </w:p>
    <w:p>
      <w:pPr>
        <w:pStyle w:val="BodyText4"/>
        <w:rPr/>
      </w:pPr>
      <w:bookmarkStart w:id="251" w:name="_DV_M164"/>
      <w:bookmarkEnd w:id="251"/>
      <w:r>
        <w:rPr>
          <w:color w:val="000000"/>
        </w:rPr>
        <w:t xml:space="preserve">  </w:t>
      </w:r>
      <w:r>
        <w:rPr>
          <w:color w:val="000000"/>
        </w:rPr>
        <w:t xml:space="preserve">The Company has all requisite power and authority to carry out the transactions contemplated hereby and by the other Related Agreements, and the execution, delivery and performance by the Company of this Agreement and the Related Agreements and the consummation by the Company of the transactions contemplated hereby and thereby have been duly authorized by all requisite corporate action including necessary stockholder action.  This Agreement and the Related Agreements have been duly executed and delivered on behalf of the Company and constitute the valid and binding obligations of the Company, enforceable in accordance with their respective terms, subject to (i) laws of general application relating to bankruptcy, insolvency, and the relief of debtors, (ii) rules of law governing specific performance, injunctive relief, or other equitable remedies and (iii) the extent that the indemnification provisions of the [Amended and Restated] Registration Rights Agreement may be limited by applicable Federal or state securities law.  The execution, delivery and performance of this Agreement and the Related Agreements, </w:t>
      </w:r>
      <w:bookmarkStart w:id="252" w:name="_DV_C87"/>
      <w:r>
        <w:rPr>
          <w:rStyle w:val="DeltaViewDeletion"/>
        </w:rPr>
        <w:t xml:space="preserve">the issuance, sale and delivery of the Shares, the Warrant and the Common Stock issuable upon exercise of the Warrant and </w:t>
      </w:r>
      <w:bookmarkStart w:id="253" w:name="_DV_M165"/>
      <w:bookmarkEnd w:id="252"/>
      <w:bookmarkEnd w:id="253"/>
      <w:r>
        <w:rPr>
          <w:color w:val="000000"/>
        </w:rPr>
        <w:t>compliance with the provisions hereof and thereof by the Company</w:t>
      </w:r>
      <w:bookmarkStart w:id="254" w:name="_DV_C88"/>
      <w:r>
        <w:rPr>
          <w:rStyle w:val="DeltaViewInsertion"/>
        </w:rPr>
        <w:t xml:space="preserve"> and the issuance, sale and delivery of the Shares</w:t>
      </w:r>
      <w:bookmarkStart w:id="255" w:name="_DV_M166"/>
      <w:bookmarkEnd w:id="254"/>
      <w:bookmarkEnd w:id="255"/>
      <w:r>
        <w:rPr>
          <w:color w:val="000000"/>
        </w:rPr>
        <w:t>, do not and will not, with or without the passage of time or the giving of notice or both, (a) violate any law, rule, statute, regulation or ruling, order or judgment of any court, administrative agency or other governmental entity applicable to the Company or any of its assets, (b) violate or conflict with any provision of the Certificate of Incorporation of the Company or By-Laws of the Company as in effect on the Closing Date, (c) conflict with, result in a breach of, constitute a default under, result in the acceleration of, create in any party the right to accelerate, terminate, modify or cancel, or require any notice under any contract to which the Company is a party or by which any of the assets of the Company are bound, or (d) result in the imposition of any Lien (as defined in Section 2.7) upon any of the assets of the Company, other than, the case of clauses (a), (c) and (d), any such violations, conflicts, breaches, defaults or Liens which individually or in the aggregate could not reasonably be expected to result in a Material Adverse Effect.</w:t>
      </w:r>
    </w:p>
    <w:p>
      <w:pPr>
        <w:pStyle w:val="Heading2"/>
        <w:rPr>
          <w:vanish/>
          <w:color w:val="000000"/>
        </w:rPr>
      </w:pPr>
      <w:bookmarkStart w:id="256" w:name="_DV_M167"/>
      <w:bookmarkEnd w:id="256"/>
      <w:r>
        <w:rPr>
          <w:color w:val="000000"/>
        </w:rPr>
        <w:t>Authorization of Shares</w:t>
      </w:r>
      <w:r>
        <w:rPr>
          <w:color w:val="000000"/>
          <w:u w:val="none"/>
        </w:rPr>
        <w:t>.</w:t>
      </w:r>
    </w:p>
    <w:p>
      <w:pPr>
        <w:pStyle w:val="BodyText4"/>
        <w:rPr/>
      </w:pPr>
      <w:bookmarkStart w:id="257" w:name="_DV_M168"/>
      <w:bookmarkEnd w:id="257"/>
      <w:r>
        <w:rPr>
          <w:color w:val="000000"/>
        </w:rPr>
        <w:t xml:space="preserve">  </w:t>
      </w:r>
      <w:r>
        <w:rPr>
          <w:color w:val="000000"/>
        </w:rPr>
        <w:t>The issuance, sale and delivery by the Company of the Shares</w:t>
      </w:r>
      <w:bookmarkStart w:id="258" w:name="_DV_C89"/>
      <w:r>
        <w:rPr>
          <w:rStyle w:val="DeltaViewDeletion"/>
        </w:rPr>
        <w:t>, the Warrant and the Common Stock issuable upon exercise of the Warrant</w:t>
      </w:r>
      <w:bookmarkStart w:id="259" w:name="_DV_M169"/>
      <w:bookmarkEnd w:id="258"/>
      <w:bookmarkEnd w:id="259"/>
      <w:r>
        <w:rPr>
          <w:color w:val="000000"/>
        </w:rPr>
        <w:t xml:space="preserve"> have been duly authorized by all requisite corporate action of the Company, and the Shares, when issued, sold and delivered in accordance with this Agreement, </w:t>
      </w:r>
      <w:bookmarkStart w:id="260" w:name="_DV_C90"/>
      <w:r>
        <w:rPr>
          <w:rStyle w:val="DeltaViewDeletion"/>
        </w:rPr>
        <w:t xml:space="preserve">and the Common Stock issuable upon exercise of the Warrant when issued upon such exercise </w:t>
      </w:r>
      <w:bookmarkStart w:id="261" w:name="_DV_M170"/>
      <w:bookmarkEnd w:id="260"/>
      <w:bookmarkEnd w:id="261"/>
      <w:r>
        <w:rPr>
          <w:color w:val="000000"/>
        </w:rPr>
        <w:t>will be validly issued and outstanding, fully paid and nonassessable, with no personal liability attaching to the ownership thereof</w:t>
      </w:r>
      <w:bookmarkStart w:id="262" w:name="_DV_C91"/>
      <w:r>
        <w:rPr>
          <w:rStyle w:val="DeltaViewDeletion"/>
        </w:rPr>
        <w:t xml:space="preserve"> (except as contemplated by this Agreement and the Related Agreements)</w:t>
      </w:r>
      <w:bookmarkStart w:id="263" w:name="_DV_M171"/>
      <w:bookmarkEnd w:id="262"/>
      <w:bookmarkEnd w:id="263"/>
      <w:r>
        <w:rPr>
          <w:color w:val="000000"/>
        </w:rPr>
        <w:t>, and free and clear of any liens or encumbrances imposed by or through the Company except as set forth in the Stockholders’ Agreement and the [Amended and Restated] Registration Rights Agreement.</w:t>
      </w:r>
    </w:p>
    <w:p>
      <w:pPr>
        <w:pStyle w:val="Heading2"/>
        <w:rPr>
          <w:vanish/>
          <w:color w:val="000000"/>
        </w:rPr>
      </w:pPr>
      <w:bookmarkStart w:id="264" w:name="_DV_M172"/>
      <w:bookmarkEnd w:id="264"/>
      <w:r>
        <w:rPr>
          <w:color w:val="000000"/>
        </w:rPr>
        <w:t>Capitalization</w:t>
      </w:r>
      <w:r>
        <w:rPr>
          <w:color w:val="000000"/>
          <w:u w:val="none"/>
        </w:rPr>
        <w:t>.</w:t>
      </w:r>
    </w:p>
    <w:p>
      <w:pPr>
        <w:pStyle w:val="BodyText4"/>
        <w:rPr>
          <w:color w:val="000000"/>
        </w:rPr>
      </w:pPr>
      <w:bookmarkStart w:id="265" w:name="_DV_M173"/>
      <w:bookmarkEnd w:id="265"/>
      <w:r>
        <w:rPr>
          <w:color w:val="000000"/>
        </w:rPr>
        <w:t xml:space="preserve">  </w:t>
      </w:r>
      <w:r>
        <w:rPr>
          <w:color w:val="000000"/>
        </w:rPr>
        <w:t>The entire authorized capital stock of the Company consists, or shall immediately prior to the Closing shall consist, of:</w:t>
      </w:r>
    </w:p>
    <w:p>
      <w:pPr>
        <w:pStyle w:val="Heading3"/>
        <w:rPr>
          <w:color w:val="000000"/>
        </w:rPr>
      </w:pPr>
      <w:bookmarkStart w:id="266" w:name="_DV_M174"/>
      <w:bookmarkEnd w:id="266"/>
      <w:r>
        <w:rPr>
          <w:color w:val="000000"/>
        </w:rPr>
        <w:t>[</w:t>
        <w:tab/>
        <w:tab/>
        <w:t>] shares of Common Stock, of which (i) [</w:t>
        <w:tab/>
        <w:tab/>
        <w:t>] shares have been issued and are outstanding, (ii) [</w:t>
        <w:tab/>
        <w:tab/>
        <w:tab/>
        <w:t>] shares of Common Stock have been reserved for issuance to employees, officers, directors and consultants pursuant to awards granted and [_______________] shares of Common Stock have been reserved for issuance to employees, officers, directors and consultants pursuant to awards to be granted under the Company’s 2000 Stock Incentive Plan (the “</w:t>
      </w:r>
      <w:r>
        <w:rPr>
          <w:color w:val="000000"/>
          <w:u w:val="single"/>
        </w:rPr>
        <w:t>Incentive Plan</w:t>
      </w:r>
      <w:r>
        <w:rPr>
          <w:color w:val="000000"/>
        </w:rPr>
        <w:t xml:space="preserve">”), (iii) 2,279,612 shares of Common Stock have been reserved for issuance upon exercise of </w:t>
      </w:r>
      <w:bookmarkStart w:id="267" w:name="_DV_C92"/>
      <w:r>
        <w:rPr>
          <w:rStyle w:val="DeltaViewInsertion"/>
        </w:rPr>
        <w:t xml:space="preserve">warrants of </w:t>
      </w:r>
      <w:bookmarkStart w:id="268" w:name="_DV_M175"/>
      <w:bookmarkEnd w:id="267"/>
      <w:bookmarkEnd w:id="268"/>
      <w:r>
        <w:rPr>
          <w:color w:val="000000"/>
        </w:rPr>
        <w:t xml:space="preserve">the </w:t>
      </w:r>
      <w:bookmarkStart w:id="269" w:name="_DV_C93"/>
      <w:r>
        <w:rPr>
          <w:rStyle w:val="DeltaViewDeletion"/>
        </w:rPr>
        <w:t>Warrant</w:t>
      </w:r>
      <w:bookmarkStart w:id="270" w:name="_DV_C94"/>
      <w:bookmarkEnd w:id="269"/>
      <w:r>
        <w:rPr>
          <w:rStyle w:val="DeltaViewInsertion"/>
        </w:rPr>
        <w:t>Company</w:t>
      </w:r>
      <w:bookmarkStart w:id="271" w:name="_DV_M176"/>
      <w:bookmarkEnd w:id="270"/>
      <w:bookmarkEnd w:id="271"/>
      <w:r>
        <w:rPr>
          <w:color w:val="000000"/>
        </w:rPr>
        <w:t xml:space="preserve"> and (iv) no shares are held as treasury shares; and</w:t>
      </w:r>
    </w:p>
    <w:p>
      <w:pPr>
        <w:pStyle w:val="Heading3"/>
        <w:rPr>
          <w:color w:val="000000"/>
        </w:rPr>
      </w:pPr>
      <w:bookmarkStart w:id="272" w:name="_DV_M177"/>
      <w:bookmarkEnd w:id="272"/>
      <w:r>
        <w:rPr>
          <w:color w:val="000000"/>
        </w:rPr>
        <w:t>[_____________] shares of Preferred Stock, $.001 par value (the “</w:t>
      </w:r>
      <w:r>
        <w:rPr>
          <w:color w:val="000000"/>
          <w:u w:val="single"/>
        </w:rPr>
        <w:t>Preferred Stock</w:t>
      </w:r>
      <w:r>
        <w:rPr>
          <w:color w:val="000000"/>
        </w:rPr>
        <w:t>”), of which [_________] shares of Series A Preferred Stock [are proposed to be issued] [have been issued] [are being issued simultaneously herewith] to [__________________].</w:t>
      </w:r>
    </w:p>
    <w:p>
      <w:pPr>
        <w:pStyle w:val="BodyText"/>
        <w:jc w:val="both"/>
        <w:rPr>
          <w:color w:val="000000"/>
        </w:rPr>
      </w:pPr>
      <w:bookmarkStart w:id="273" w:name="_DV_M178"/>
      <w:bookmarkEnd w:id="273"/>
      <w:r>
        <w:rPr>
          <w:color w:val="000000"/>
        </w:rPr>
        <w:t>All issued and outstanding capital stock (i) has been duly and validly issued and is fully paid and non-assessable and (ii) was issued in compliance with all applicable federal and state securities laws.</w:t>
      </w:r>
    </w:p>
    <w:p>
      <w:pPr>
        <w:pStyle w:val="BodyText"/>
        <w:jc w:val="both"/>
        <w:rPr/>
      </w:pPr>
      <w:bookmarkStart w:id="274" w:name="_DV_M179"/>
      <w:bookmarkEnd w:id="274"/>
      <w:r>
        <w:rPr>
          <w:color w:val="000000"/>
        </w:rPr>
        <w:t xml:space="preserve">Except as set forth in </w:t>
      </w:r>
      <w:r>
        <w:rPr>
          <w:b/>
          <w:bCs/>
          <w:color w:val="000000"/>
          <w:u w:val="single"/>
        </w:rPr>
        <w:t xml:space="preserve">Schedule </w:t>
      </w:r>
      <w:bookmarkStart w:id="275" w:name="_DV_C95"/>
      <w:r>
        <w:rPr>
          <w:rStyle w:val="DeltaViewDeletion"/>
          <w:b/>
          <w:bCs/>
          <w:u w:val="single"/>
        </w:rPr>
        <w:t>2.5</w:t>
      </w:r>
      <w:r>
        <w:rPr>
          <w:rStyle w:val="DeltaViewDeletion"/>
        </w:rPr>
        <w:t xml:space="preserve"> or the Co-Marketing Agreement,</w:t>
      </w:r>
      <w:bookmarkStart w:id="276" w:name="_DV_C96"/>
      <w:bookmarkEnd w:id="275"/>
      <w:r>
        <w:rPr>
          <w:rStyle w:val="DeltaViewInsertion"/>
        </w:rPr>
        <w:t>2.5,</w:t>
      </w:r>
      <w:bookmarkStart w:id="277" w:name="_DV_M180"/>
      <w:bookmarkEnd w:id="276"/>
      <w:bookmarkEnd w:id="277"/>
      <w:r>
        <w:rPr>
          <w:color w:val="000000"/>
        </w:rPr>
        <w:t xml:space="preserve"> there are no outstanding shares of capital stock of the Company or warrants, options, agreements, convertible securities or other commitments pursuant to which the Company is or may become obligated to issue, redeem or purchase any shares of capital stock or other securities of the Company and there are no outstanding or authorized phantom stock or similar rights with respect to the Company, and the Company has no obligation or commitment to grant or issue any of the foregoing.  The number of shares of capital stock reserved for issuance is not subject to adjustment by reason of the issuance of the Shares.  Except as set forth in </w:t>
      </w:r>
      <w:bookmarkStart w:id="278" w:name="_DV_M181"/>
      <w:bookmarkEnd w:id="278"/>
      <w:r>
        <w:rPr>
          <w:b/>
          <w:bCs/>
          <w:color w:val="000000"/>
          <w:u w:val="single"/>
        </w:rPr>
        <w:t>Schedule 2.5</w:t>
      </w:r>
      <w:r>
        <w:rPr>
          <w:color w:val="000000"/>
        </w:rPr>
        <w:t xml:space="preserve"> and except as set forth in the Related Agreements, there are no preemptive rights, contractual rights of first refusal or similar rights to purchase or otherwise acquire shares of capital stock of the Company pursuant to any provision of law, the Certificate of Incorporation or the By-Laws or any agreement to which the Company is a party.</w:t>
      </w:r>
    </w:p>
    <w:p>
      <w:pPr>
        <w:pStyle w:val="Heading2"/>
        <w:rPr>
          <w:vanish/>
          <w:color w:val="000000"/>
        </w:rPr>
      </w:pPr>
      <w:bookmarkStart w:id="279" w:name="_DV_M182"/>
      <w:bookmarkEnd w:id="279"/>
      <w:r>
        <w:rPr>
          <w:color w:val="000000"/>
        </w:rPr>
        <w:t>Financial Statements</w:t>
      </w:r>
      <w:r>
        <w:rPr>
          <w:color w:val="000000"/>
          <w:u w:val="none"/>
        </w:rPr>
        <w:t>.</w:t>
      </w:r>
    </w:p>
    <w:p>
      <w:pPr>
        <w:pStyle w:val="BodyText4"/>
        <w:rPr/>
      </w:pPr>
      <w:bookmarkStart w:id="280" w:name="_DV_M183"/>
      <w:bookmarkEnd w:id="280"/>
      <w:r>
        <w:rPr>
          <w:color w:val="000000"/>
        </w:rPr>
        <w:t xml:space="preserve">  </w:t>
      </w:r>
      <w:r>
        <w:rPr>
          <w:color w:val="000000"/>
        </w:rPr>
        <w:t>The Investor has been furnished with the unaudited balance sheet of the Company as of December 31, 2000 (the “</w:t>
      </w:r>
      <w:r>
        <w:rPr>
          <w:color w:val="000000"/>
          <w:u w:val="single"/>
        </w:rPr>
        <w:t>Balance Sheet Date</w:t>
      </w:r>
      <w:r>
        <w:rPr>
          <w:color w:val="000000"/>
        </w:rPr>
        <w:t>”) and the related unaudited consolidated statements of income for the [___]-month period ended December 31, 2000 (the “</w:t>
      </w:r>
      <w:r>
        <w:rPr>
          <w:color w:val="000000"/>
          <w:u w:val="single"/>
        </w:rPr>
        <w:t>Financial Statements</w:t>
      </w:r>
      <w:r>
        <w:rPr>
          <w:color w:val="000000"/>
        </w:rPr>
        <w:t>”).  The Financial Statements have been prepared in accordance with generally accepted accounting principles applied on a consistent basis (“</w:t>
      </w:r>
      <w:r>
        <w:rPr>
          <w:color w:val="000000"/>
          <w:u w:val="single"/>
        </w:rPr>
        <w:t>GAAP</w:t>
      </w:r>
      <w:r>
        <w:rPr>
          <w:color w:val="000000"/>
        </w:rPr>
        <w:t xml:space="preserve">”) throughout the period covered thereby (except for the absence of footnotes).  Such balance sheet presents fairly the financial position of the Company as of the Balance Sheet Date, and reflects all material liabilities, contingent or other, at the Balance Sheet Date, required by GAAP to be reflected therein, and such statements of income present fairly the results of operations of the Company for the period presented (subject to normal year-end adjustments).  The Company does not have any liability (whether known or unknown and whether absolute or contingent), except for (i) liabilities shown on the Balance Sheet, (ii) liabilities which have arisen since the Balance Sheet Date in the ordinary course of business and are not, in the case of any individual liability or group of related liabilities due to a particular person or entity, in excess of $50,000 and (iii) contractual and other liabilities incurred in the ordinary course of business which are not required by GAAP to be reflected on a balance sheet and which are disclosed on </w:t>
      </w:r>
      <w:r>
        <w:rPr>
          <w:b/>
          <w:bCs/>
          <w:color w:val="000000"/>
          <w:u w:val="single"/>
        </w:rPr>
        <w:t>Schedule 2.6</w:t>
      </w:r>
      <w:r>
        <w:rPr>
          <w:color w:val="000000"/>
        </w:rPr>
        <w:t xml:space="preserve"> and (iv) liabilities under any employee benefit plan or program which are disclosed on </w:t>
      </w:r>
      <w:r>
        <w:rPr>
          <w:b/>
          <w:bCs/>
          <w:color w:val="000000"/>
          <w:u w:val="single"/>
        </w:rPr>
        <w:t>Schedule 2.6</w:t>
      </w:r>
      <w:r>
        <w:rPr>
          <w:color w:val="000000"/>
        </w:rPr>
        <w:t>.</w:t>
      </w:r>
    </w:p>
    <w:p>
      <w:pPr>
        <w:pStyle w:val="Heading2"/>
        <w:rPr>
          <w:vanish/>
          <w:color w:val="000000"/>
        </w:rPr>
      </w:pPr>
      <w:bookmarkStart w:id="281" w:name="_DV_M184"/>
      <w:bookmarkEnd w:id="281"/>
      <w:r>
        <w:rPr>
          <w:color w:val="000000"/>
        </w:rPr>
        <w:t>Absence of Changes</w:t>
      </w:r>
      <w:r>
        <w:rPr>
          <w:color w:val="000000"/>
          <w:u w:val="none"/>
        </w:rPr>
        <w:t>.</w:t>
      </w:r>
    </w:p>
    <w:p>
      <w:pPr>
        <w:pStyle w:val="BodyText4"/>
        <w:rPr/>
      </w:pPr>
      <w:bookmarkStart w:id="282" w:name="_DV_M185"/>
      <w:bookmarkEnd w:id="282"/>
      <w:r>
        <w:rPr>
          <w:color w:val="000000"/>
        </w:rPr>
        <w:t xml:space="preserve">  </w:t>
      </w:r>
      <w:r>
        <w:rPr>
          <w:color w:val="000000"/>
        </w:rPr>
        <w:t xml:space="preserve">Except as set forth in the Financial Statements or </w:t>
      </w:r>
      <w:r>
        <w:rPr>
          <w:b/>
          <w:bCs/>
          <w:color w:val="000000"/>
          <w:u w:val="single"/>
        </w:rPr>
        <w:t>Schedule 2.7</w:t>
      </w:r>
      <w:r>
        <w:rPr>
          <w:color w:val="000000"/>
        </w:rPr>
        <w:t>, since the Balance Sheet Date the business of the Company has been conducted in the ordinary course, consistent with past practices, and there has not been:</w:t>
      </w:r>
      <w:bookmarkStart w:id="283" w:name="_DV_C97"/>
    </w:p>
    <w:p>
      <w:pPr>
        <w:pStyle w:val="Heading3"/>
        <w:rPr>
          <w:color w:val="000000"/>
        </w:rPr>
      </w:pPr>
      <w:bookmarkStart w:id="284" w:name="_DV_C98"/>
      <w:bookmarkEnd w:id="283"/>
      <w:r>
        <w:rPr>
          <w:rStyle w:val="DeltaViewDeletion"/>
        </w:rPr>
        <w:t xml:space="preserve">(a) </w:t>
        <w:tab/>
      </w:r>
      <w:bookmarkStart w:id="285" w:name="_DV_M186"/>
      <w:bookmarkEnd w:id="284"/>
      <w:bookmarkEnd w:id="285"/>
      <w:r>
        <w:rPr>
          <w:color w:val="000000"/>
        </w:rPr>
        <w:t>any event(s), conditions or circumstance that reasonably could be expected to have a Material Adverse Effect,</w:t>
      </w:r>
      <w:bookmarkStart w:id="286" w:name="_DV_C99"/>
    </w:p>
    <w:p>
      <w:pPr>
        <w:pStyle w:val="Heading3"/>
        <w:rPr>
          <w:color w:val="000000"/>
        </w:rPr>
      </w:pPr>
      <w:bookmarkStart w:id="287" w:name="_DV_C100"/>
      <w:bookmarkEnd w:id="286"/>
      <w:r>
        <w:rPr>
          <w:rStyle w:val="DeltaViewDeletion"/>
        </w:rPr>
        <w:t>(b)</w:t>
        <w:tab/>
      </w:r>
      <w:bookmarkStart w:id="288" w:name="_DV_M187"/>
      <w:bookmarkEnd w:id="287"/>
      <w:bookmarkEnd w:id="288"/>
      <w:r>
        <w:rPr>
          <w:color w:val="000000"/>
        </w:rPr>
        <w:t>any declaration, setting aside or payment of any dividend or other distribution with respect to any shares of capital stock of the Company, or any repurchase, redemption or other acquisition by the Company of any outstanding shares of capital stock or other securities of the Company;</w:t>
      </w:r>
      <w:bookmarkStart w:id="289" w:name="_DV_C101"/>
    </w:p>
    <w:p>
      <w:pPr>
        <w:pStyle w:val="Heading3"/>
        <w:rPr>
          <w:color w:val="000000"/>
        </w:rPr>
      </w:pPr>
      <w:bookmarkStart w:id="290" w:name="_DV_C102"/>
      <w:bookmarkEnd w:id="289"/>
      <w:r>
        <w:rPr>
          <w:rStyle w:val="DeltaViewDeletion"/>
        </w:rPr>
        <w:tab/>
        <w:t>(c)</w:t>
        <w:tab/>
      </w:r>
      <w:bookmarkStart w:id="291" w:name="_DV_M188"/>
      <w:bookmarkEnd w:id="290"/>
      <w:bookmarkEnd w:id="291"/>
      <w:r>
        <mc:AlternateContent>
          <mc:Choice Requires="wps">
            <w:drawing>
              <wp:anchor behindDoc="0" distT="0" distB="0" distL="114935" distR="114935" simplePos="0" locked="0" layoutInCell="1" allowOverlap="1" relativeHeight="31">
                <wp:simplePos x="0" y="0"/>
                <wp:positionH relativeFrom="column">
                  <wp:posOffset>-822960</wp:posOffset>
                </wp:positionH>
                <wp:positionV relativeFrom="paragraph">
                  <wp:posOffset>635</wp:posOffset>
                </wp:positionV>
                <wp:extent cx="91440" cy="91440"/>
                <wp:effectExtent l="5080" t="5080" r="5080" b="5080"/>
                <wp:wrapNone/>
                <wp:docPr id="2" name=""/>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ffffff"/>
                          </a:solidFill>
                          <a:miter/>
                        </a:ln>
                      </wps:spPr>
                      <wps:style>
                        <a:lnRef idx="0"/>
                        <a:fillRef idx="0"/>
                        <a:effectRef idx="0"/>
                        <a:fontRef idx="minor"/>
                      </wps:style>
                      <wps:bodyPr/>
                    </wps:wsp>
                  </a:graphicData>
                </a:graphic>
              </wp:anchor>
            </w:drawing>
          </mc:Choice>
          <mc:Fallback>
            <w:pict>
              <v:rect id="shape_0" fillcolor="white" stroked="t" o:allowincell="f" style="position:absolute;margin-left:-64.8pt;margin-top:0pt;width:7.15pt;height:7.15pt;mso-wrap-style:none;v-text-anchor:middle">
                <v:fill o:detectmouseclick="t" type="solid" color2="black"/>
                <v:stroke color="white" weight="9360" joinstyle="miter" endcap="flat"/>
                <w10:wrap type="none"/>
              </v:rect>
            </w:pict>
          </mc:Fallback>
        </mc:AlternateContent>
      </w:r>
      <w:bookmarkStart w:id="292" w:name="_DV_C103"/>
      <w:r>
        <w:rPr>
          <w:color w:val="000000"/>
        </w:rPr>
        <w:t>any amendment of any material term of any outstanding security of the Company or any agreement to which the Company is a party;</w:t>
      </w:r>
    </w:p>
    <w:p>
      <w:pPr>
        <w:pStyle w:val="Heading3"/>
        <w:rPr>
          <w:color w:val="000000"/>
        </w:rPr>
      </w:pPr>
      <w:bookmarkStart w:id="293" w:name="_DV_C104"/>
      <w:bookmarkEnd w:id="292"/>
      <w:r>
        <w:rPr>
          <w:rStyle w:val="DeltaViewDeletion"/>
        </w:rPr>
        <w:tab/>
        <w:t>(d)</w:t>
        <w:tab/>
      </w:r>
      <w:bookmarkStart w:id="294" w:name="_DV_M189"/>
      <w:bookmarkEnd w:id="293"/>
      <w:bookmarkEnd w:id="294"/>
      <w:r>
        <w:rPr>
          <w:color w:val="000000"/>
        </w:rPr>
        <w:t>any incurrence, assumption or guarantee by the Company of any indebtedness for borrowed money;</w:t>
      </w:r>
      <w:bookmarkStart w:id="295" w:name="_DV_C105"/>
    </w:p>
    <w:p>
      <w:pPr>
        <w:pStyle w:val="Heading3"/>
        <w:rPr>
          <w:color w:val="000000"/>
        </w:rPr>
      </w:pPr>
      <w:bookmarkStart w:id="296" w:name="_DV_C106"/>
      <w:bookmarkEnd w:id="295"/>
      <w:r>
        <w:rPr>
          <w:rStyle w:val="DeltaViewDeletion"/>
        </w:rPr>
        <w:tab/>
        <w:t>(e)</w:t>
        <w:tab/>
      </w:r>
      <w:bookmarkStart w:id="297" w:name="_DV_M190"/>
      <w:bookmarkEnd w:id="296"/>
      <w:bookmarkEnd w:id="297"/>
      <w:r>
        <w:rPr>
          <w:color w:val="000000"/>
        </w:rPr>
        <w:t>any creation or other incurrence by the Company of any lien on any material asset other than in the ordinary course of business consistent with past practices;</w:t>
      </w:r>
      <w:bookmarkStart w:id="298" w:name="_DV_C107"/>
    </w:p>
    <w:p>
      <w:pPr>
        <w:pStyle w:val="Heading3"/>
        <w:rPr>
          <w:color w:val="000000"/>
        </w:rPr>
      </w:pPr>
      <w:bookmarkStart w:id="299" w:name="_DV_C108"/>
      <w:bookmarkEnd w:id="298"/>
      <w:r>
        <w:rPr>
          <w:rStyle w:val="DeltaViewDeletion"/>
        </w:rPr>
        <w:tab/>
        <w:t>(f)</w:t>
        <w:tab/>
      </w:r>
      <w:bookmarkStart w:id="300" w:name="_DV_M191"/>
      <w:bookmarkEnd w:id="299"/>
      <w:bookmarkEnd w:id="300"/>
      <w:r>
        <w:rPr>
          <w:color w:val="000000"/>
        </w:rPr>
        <w:t>any making of any loan, advance or capital contributions to or investment in any person or entity;</w:t>
      </w:r>
      <w:bookmarkStart w:id="301" w:name="_DV_C109"/>
    </w:p>
    <w:p>
      <w:pPr>
        <w:pStyle w:val="Heading3"/>
        <w:rPr>
          <w:color w:val="000000"/>
        </w:rPr>
      </w:pPr>
      <w:bookmarkStart w:id="302" w:name="_DV_C110"/>
      <w:bookmarkEnd w:id="301"/>
      <w:r>
        <w:rPr>
          <w:rStyle w:val="DeltaViewDeletion"/>
        </w:rPr>
        <w:tab/>
        <w:t>(g)</w:t>
        <w:tab/>
      </w:r>
      <w:bookmarkStart w:id="303" w:name="_DV_M192"/>
      <w:bookmarkEnd w:id="302"/>
      <w:bookmarkEnd w:id="303"/>
      <w:r>
        <w:rPr>
          <w:color w:val="000000"/>
        </w:rPr>
        <w:t>any transaction or commitment made, or any contract or agreement entered into, by the Company relating to its assets or business (including the acquisition or disposition of any assets) or any relinquishment by the Company of any contract or other right, in either case, material to the Company;</w:t>
      </w:r>
      <w:bookmarkStart w:id="304" w:name="_DV_C111"/>
    </w:p>
    <w:p>
      <w:pPr>
        <w:pStyle w:val="Heading3"/>
        <w:rPr>
          <w:color w:val="000000"/>
        </w:rPr>
      </w:pPr>
      <w:bookmarkStart w:id="305" w:name="_DV_C112"/>
      <w:bookmarkEnd w:id="304"/>
      <w:r>
        <w:rPr>
          <w:rStyle w:val="DeltaViewDeletion"/>
        </w:rPr>
        <w:tab/>
        <w:t>(h)</w:t>
        <w:tab/>
      </w:r>
      <w:bookmarkStart w:id="306" w:name="_DV_M193"/>
      <w:bookmarkEnd w:id="305"/>
      <w:bookmarkEnd w:id="306"/>
      <w:r>
        <w:rPr>
          <w:color w:val="000000"/>
        </w:rPr>
        <w:t>any change in any method of accounting or accounting practice by the Company;</w:t>
      </w:r>
      <w:bookmarkStart w:id="307" w:name="_DV_C113"/>
    </w:p>
    <w:p>
      <w:pPr>
        <w:pStyle w:val="Heading3"/>
        <w:rPr>
          <w:color w:val="000000"/>
        </w:rPr>
      </w:pPr>
      <w:bookmarkStart w:id="308" w:name="_DV_C114"/>
      <w:bookmarkEnd w:id="307"/>
      <w:r>
        <w:rPr>
          <w:rStyle w:val="DeltaViewDeletion"/>
        </w:rPr>
        <w:tab/>
        <w:t>(i)</w:t>
        <w:tab/>
      </w:r>
      <w:bookmarkStart w:id="309" w:name="_DV_M194"/>
      <w:bookmarkEnd w:id="308"/>
      <w:bookmarkEnd w:id="309"/>
      <w:r>
        <w:rPr>
          <w:color w:val="000000"/>
        </w:rPr>
        <w:t>any (i) employment, deferred compensation, severance, retirement or other similar agreement entered into with any director, officer or employee of the Company (or any amendment to any such existing agreement), (ii) grant of any severance or termination pay to any director, officer or employee of the Company, or (iii) change in compensation or other benefits payable to any director, officer or employee of the Company pursuant to any severance or retirement plans or policies thereof; or</w:t>
      </w:r>
      <w:bookmarkStart w:id="310" w:name="_DV_C115"/>
    </w:p>
    <w:p>
      <w:pPr>
        <w:pStyle w:val="Heading3"/>
        <w:rPr>
          <w:color w:val="000000"/>
        </w:rPr>
      </w:pPr>
      <w:bookmarkStart w:id="311" w:name="_DV_C116"/>
      <w:bookmarkEnd w:id="310"/>
      <w:r>
        <w:rPr>
          <w:rStyle w:val="DeltaViewDeletion"/>
        </w:rPr>
        <w:tab/>
        <w:t>(j)</w:t>
        <w:tab/>
      </w:r>
      <w:bookmarkStart w:id="312" w:name="_DV_M195"/>
      <w:bookmarkEnd w:id="311"/>
      <w:bookmarkEnd w:id="312"/>
      <w:r>
        <w:rPr>
          <w:color w:val="000000"/>
        </w:rPr>
        <w:t>any labor dispute, other than routine individual grievances, or any activity or proceeding by a labor union or representative thereof to organize any employees of the Company, which employees were not subject to a collective bargaining agreement at the Balance Sheet Date, or any lockouts, strikes, slowdowns, work stoppages or threats thereof by or with respect to any employees of the Company.</w:t>
      </w:r>
    </w:p>
    <w:p>
      <w:pPr>
        <w:pStyle w:val="Heading2"/>
        <w:rPr>
          <w:vanish/>
          <w:color w:val="000000"/>
        </w:rPr>
      </w:pPr>
      <w:bookmarkStart w:id="313" w:name="_DV_M196"/>
      <w:bookmarkEnd w:id="313"/>
      <w:r>
        <w:rPr>
          <w:color w:val="000000"/>
        </w:rPr>
        <w:t>Title; Condition of Property</w:t>
      </w:r>
      <w:r>
        <w:rPr>
          <w:color w:val="000000"/>
          <w:u w:val="none"/>
        </w:rPr>
        <w:t>.</w:t>
      </w:r>
    </w:p>
    <w:p>
      <w:pPr>
        <w:pStyle w:val="BodyText4"/>
        <w:rPr/>
      </w:pPr>
      <w:bookmarkStart w:id="314" w:name="_DV_M197"/>
      <w:bookmarkEnd w:id="314"/>
      <w:r>
        <w:rPr>
          <w:color w:val="000000"/>
        </w:rPr>
        <w:t xml:space="preserve">  </w:t>
      </w:r>
      <w:r>
        <w:rPr>
          <w:color w:val="000000"/>
        </w:rPr>
        <w:t>Except for (i) liens for current taxes not yet delinquent, (ii) liens imposed by law and incurred in the ordinary course of business for obligations not past due to carriers, warehousemen, laborers, materialmen and the like, (iii) liens in respect of pledges or deposits under workers’ compensation laws or similar legislation or (iv) minor defects in title, none of which individually or in the aggregate, materially interferes with the use of such property, the Company has good title to, or, in the case of leased property, a valid leasehold interest in all of its property and assets, personal or mixed, tangible or intangible, reflected in the Balance Sheet or acquired since the Balance Sheet Date, except those disposed of since such date in the ordinary course of business consistent with past practices, free and clear of all liens, security interests, charges and other encumbrances of any kind or any other right of any third party (“</w:t>
      </w:r>
      <w:r>
        <w:rPr>
          <w:color w:val="000000"/>
          <w:u w:val="single"/>
        </w:rPr>
        <w:t>Liens</w:t>
      </w:r>
      <w:r>
        <w:rPr>
          <w:color w:val="000000"/>
        </w:rPr>
        <w:t>”).  Such property and assets (including Intellectual Property) owned or leased by the Company, or which it otherwise has the right to use, constitute all of the property and assets used or held for use in connection with the business of the Company and are adequate to conduct such business as currently conducted and as contemplated, except for such matters as would not, individually or in the aggregate, have a Material Adverse Effect.  Such properties and assets are in good working condition and repair, ordinary wear and tear excepted.  The Company owns no real property.</w:t>
      </w:r>
    </w:p>
    <w:p>
      <w:pPr>
        <w:pStyle w:val="Heading2"/>
        <w:rPr>
          <w:color w:val="000000"/>
        </w:rPr>
      </w:pPr>
      <w:bookmarkStart w:id="315" w:name="_DV_M198"/>
      <w:bookmarkEnd w:id="315"/>
      <w:r>
        <w:rPr>
          <w:color w:val="000000"/>
        </w:rPr>
        <w:t>Intellectual Property</w:t>
      </w:r>
      <w:r>
        <w:rPr>
          <w:color w:val="000000"/>
          <w:u w:val="none"/>
        </w:rPr>
        <w:t>.</w:t>
      </w:r>
      <w:r>
        <w:rPr>
          <w:b w:val="false"/>
          <w:bCs w:val="false"/>
          <w:i w:val="false"/>
          <w:iCs w:val="false"/>
          <w:color w:val="000000"/>
          <w:u w:val="none"/>
        </w:rPr>
        <w:t xml:space="preserve">  </w:t>
      </w:r>
    </w:p>
    <w:p>
      <w:pPr>
        <w:pStyle w:val="Heading3"/>
        <w:rPr>
          <w:color w:val="000000"/>
        </w:rPr>
      </w:pPr>
      <w:bookmarkStart w:id="316" w:name="_DV_M199"/>
      <w:bookmarkEnd w:id="316"/>
      <w:r>
        <w:rPr>
          <w:color w:val="000000"/>
        </w:rPr>
        <w:t>To the Company’s knowledge, the Company owns or has the right to use all the Intellectual Property Rights (as defined herein) used in its business as currently conducted and as proposed to be conducted</w:t>
      </w:r>
      <w:bookmarkStart w:id="317" w:name="_DV_C117"/>
      <w:r>
        <w:rPr>
          <w:rStyle w:val="DeltaViewDeletion"/>
        </w:rPr>
        <w:t xml:space="preserve"> pursuant to the Co-Marketing Agreement</w:t>
      </w:r>
      <w:bookmarkStart w:id="318" w:name="_DV_M200"/>
      <w:bookmarkEnd w:id="317"/>
      <w:bookmarkEnd w:id="318"/>
      <w:r>
        <w:rPr>
          <w:color w:val="000000"/>
        </w:rPr>
        <w:t>.  As used herein, the term “</w:t>
      </w:r>
      <w:r>
        <w:rPr>
          <w:color w:val="000000"/>
          <w:u w:val="single"/>
        </w:rPr>
        <w:t>Intellectual Property Rights</w:t>
      </w:r>
      <w:r>
        <w:rPr>
          <w:color w:val="000000"/>
        </w:rPr>
        <w:t>” means all patents, licenses, trademarks, service marks, trade names, copyrights, inventions, trade secrets, proprietary processes and formulae, applications for patents, trademarks, service marks, and copyrights, and other industrial and intellectual property rights.</w:t>
      </w:r>
    </w:p>
    <w:p>
      <w:pPr>
        <w:pStyle w:val="Heading3"/>
        <w:rPr>
          <w:color w:val="000000"/>
        </w:rPr>
      </w:pPr>
      <w:bookmarkStart w:id="319" w:name="_DV_M201"/>
      <w:bookmarkEnd w:id="319"/>
      <w:r>
        <w:rPr>
          <w:color w:val="000000"/>
        </w:rPr>
        <w:t xml:space="preserve">Set forth on </w:t>
      </w:r>
      <w:r>
        <w:rPr>
          <w:b/>
          <w:bCs/>
          <w:color w:val="000000"/>
          <w:u w:val="single"/>
        </w:rPr>
        <w:t>Schedule 2.9</w:t>
      </w:r>
      <w:r>
        <w:rPr>
          <w:color w:val="000000"/>
        </w:rPr>
        <w:t xml:space="preserve"> is a complete list of all patents, and all registered trademarks, trade names, service marks, copyrights, and any applications therefor, included in the Intellectual Property Rights, specifying the jurisdictions in which each such Intellectual Property Right has been issued or registered or in which an application for such issuance and registration has been filed, including the respective registration or application numbers and the names of all registered owners.</w:t>
      </w:r>
    </w:p>
    <w:p>
      <w:pPr>
        <w:pStyle w:val="Heading3"/>
        <w:rPr>
          <w:color w:val="000000"/>
        </w:rPr>
      </w:pPr>
      <w:bookmarkStart w:id="320" w:name="_DV_M202"/>
      <w:bookmarkEnd w:id="320"/>
      <w:r>
        <w:rPr>
          <w:color w:val="000000"/>
        </w:rPr>
        <w:t>The Company is not in violation of any material licenses, sublicenses or other agreements as to which the Company is a party and pursuant to which the Company or any other person is authorized to use any Intellectual Property Rights of any third party (the “</w:t>
      </w:r>
      <w:r>
        <w:rPr>
          <w:color w:val="000000"/>
          <w:u w:val="single"/>
        </w:rPr>
        <w:t>Third Party Proprietary Rights</w:t>
      </w:r>
      <w:r>
        <w:rPr>
          <w:color w:val="000000"/>
        </w:rPr>
        <w:t>”).   Such licenses, sublicenses and agreements are in full force and effect and, to the knowledge of the Company, with respect to parties other than the Company, are binding and enforceable against each of the parties thereto in accordance with their respective terms, subject to (i) laws of general application relating to bankruptcy, insolvency, and the relief of debtors and (ii) rules of law governing specific performance, injunctive relief, or other equitable remedies.  The execution and delivery of this Agreement and the Related Agreements by the Company, and the consummation of the transactions contemplated hereby and thereby, will not cause the Company to be in violation of or default under any license, sublicense or agreement relating to Third Party Proprietary Rights, nor entitle any other party to any such license, sublicense or agreement to terminate or modify such license, sublicense or agreement.  None of the activities or business conducted by the Company and none of the Intellectual Property Rights owned or used by the Company (other than “off-the-shelf” generally commercially available software) infringes, violates or constitutes a misappropriation of (or in the past infringed, violated or constituted a misappropriation of) any Third Party Proprietary Rights.</w:t>
      </w:r>
    </w:p>
    <w:p>
      <w:pPr>
        <w:pStyle w:val="Heading3"/>
        <w:rPr>
          <w:color w:val="000000"/>
        </w:rPr>
      </w:pPr>
      <w:bookmarkStart w:id="321" w:name="_DV_M203"/>
      <w:bookmarkEnd w:id="321"/>
      <w:r>
        <w:rPr>
          <w:color w:val="000000"/>
        </w:rPr>
        <w:t>The Company has taken reasonable precautions (i) to protect its Intellectual Property Rights and (ii) to maintain the confidentiality of its trade secrets, pending patent applications, know-how and other confidential Intellectual Property Rights.</w:t>
      </w:r>
    </w:p>
    <w:p>
      <w:pPr>
        <w:pStyle w:val="Heading3"/>
        <w:rPr>
          <w:color w:val="000000"/>
        </w:rPr>
      </w:pPr>
      <w:bookmarkStart w:id="322" w:name="_DV_M204"/>
      <w:bookmarkEnd w:id="322"/>
      <w:r>
        <w:rPr>
          <w:color w:val="000000"/>
        </w:rPr>
        <w:t>No claim has been asserted or, to the knowledge of the Company, is threatened by any person, to the effect that the use by the Company of the Company’s Intellectual Property Rights infringes on any copyright, patent, trademark, service mark or trade secret or other intellectual property right of any third party.  To the knowledge of the Company, there is no unauthorized use, infringement or misappropriation of any of the Company’s Intellectual Property Rights by any third party, including any employee or former employee of the Company.</w:t>
      </w:r>
    </w:p>
    <w:p>
      <w:pPr>
        <w:pStyle w:val="Heading3"/>
        <w:rPr>
          <w:color w:val="000000"/>
        </w:rPr>
      </w:pPr>
      <w:bookmarkStart w:id="323" w:name="_DV_M205"/>
      <w:bookmarkEnd w:id="323"/>
      <w:r>
        <w:rPr>
          <w:color w:val="000000"/>
        </w:rPr>
        <w:t>Each current or former employee and officer of the Company that contributed to the creation or invention of any of the Company’s Intellectual Property Rights is bound by an enforceable agreement regarding confidentiality and assignment of rights to the Company with respect to any such creation or invention.  To the knowledge of the Company, no employee or officer of the Company is in violation of any term of any employment contract, proprietary information and inventions agreement, non-competition agreement, or any other contract or agreement relating to the relationship of any such employee or officer with the Company or any previous employer.</w:t>
      </w:r>
    </w:p>
    <w:p>
      <w:pPr>
        <w:pStyle w:val="Heading2"/>
        <w:rPr>
          <w:vanish/>
          <w:color w:val="000000"/>
        </w:rPr>
      </w:pPr>
      <w:bookmarkStart w:id="324" w:name="_DV_M206"/>
      <w:bookmarkEnd w:id="324"/>
      <w:r>
        <w:rPr>
          <w:color w:val="000000"/>
        </w:rPr>
        <w:t>Litigation</w:t>
      </w:r>
      <w:r>
        <w:rPr>
          <w:color w:val="000000"/>
          <w:u w:val="none"/>
        </w:rPr>
        <w:t>.</w:t>
      </w:r>
    </w:p>
    <w:p>
      <w:pPr>
        <w:pStyle w:val="BodyText4"/>
        <w:rPr>
          <w:color w:val="000000"/>
        </w:rPr>
      </w:pPr>
      <w:bookmarkStart w:id="325" w:name="_DV_M207"/>
      <w:bookmarkEnd w:id="325"/>
      <w:r>
        <w:rPr>
          <w:color w:val="000000"/>
        </w:rPr>
        <w:t xml:space="preserve">  </w:t>
      </w:r>
      <w:r>
        <w:rPr>
          <w:color w:val="000000"/>
        </w:rPr>
        <w:t>There is no action, suit, claim, proceeding or investigation, at law, in equity or otherwise, or by or before any governmental instrumentality or other agency, now pending, or, to the Company’s knowledge, threatened against or affecting the Company, its properties or its employee benefit plans, except for such actions, suits, claims, proceedings and investigations that, if determined in a manner adverse to the Company, could not reasonably be expected to have a Material Adverse Effect.</w:t>
      </w:r>
    </w:p>
    <w:p>
      <w:pPr>
        <w:pStyle w:val="Heading2"/>
        <w:rPr>
          <w:vanish/>
          <w:color w:val="000000"/>
        </w:rPr>
      </w:pPr>
      <w:bookmarkStart w:id="326" w:name="_DV_M208"/>
      <w:bookmarkEnd w:id="326"/>
      <w:r>
        <w:rPr>
          <w:color w:val="000000"/>
        </w:rPr>
        <w:t>No Defaults</w:t>
      </w:r>
      <w:r>
        <w:rPr>
          <w:color w:val="000000"/>
          <w:u w:val="none"/>
        </w:rPr>
        <w:t>.</w:t>
      </w:r>
    </w:p>
    <w:p>
      <w:pPr>
        <w:pStyle w:val="BodyText4"/>
        <w:rPr>
          <w:color w:val="000000"/>
        </w:rPr>
      </w:pPr>
      <w:bookmarkStart w:id="327" w:name="_DV_M209"/>
      <w:bookmarkEnd w:id="327"/>
      <w:r>
        <w:rPr>
          <w:color w:val="000000"/>
        </w:rPr>
        <w:t xml:space="preserve">  </w:t>
      </w:r>
      <w:r>
        <w:rPr>
          <w:color w:val="000000"/>
        </w:rPr>
        <w:t>The Company is not in violation or breach of, or in default under, and to the knowledge of the Company, there exists no condition, event or act which after notice, lapse of time, or both, could constitute a violation or breach by the Company of, or a default by the Company under, any provision of (a) the Certificate of Incorporation or the By-Laws, (b) any note, indenture, mortgage, lease, contract, purchase order or other instrument, document or agreement to which the Company is a party or by which it or any of its property is bound or affected or (c) any ruling, writ, injunction, order, judgment or decree of any court, administrative agency or other governmental body, where such violation, breach or default with respect to (b) or (c) above would individually or in the aggregate have a Material Adverse Effect on the Company.</w:t>
      </w:r>
    </w:p>
    <w:p>
      <w:pPr>
        <w:pStyle w:val="Heading2"/>
        <w:rPr>
          <w:vanish/>
          <w:color w:val="000000"/>
        </w:rPr>
      </w:pPr>
      <w:bookmarkStart w:id="328" w:name="_DV_M210"/>
      <w:bookmarkEnd w:id="328"/>
      <w:r>
        <w:rPr>
          <w:color w:val="000000"/>
        </w:rPr>
        <w:t>Taxes</w:t>
      </w:r>
      <w:r>
        <w:rPr>
          <w:color w:val="000000"/>
          <w:u w:val="none"/>
        </w:rPr>
        <w:t>.</w:t>
      </w:r>
    </w:p>
    <w:p>
      <w:pPr>
        <w:pStyle w:val="BodyText4"/>
        <w:rPr/>
      </w:pPr>
      <w:bookmarkStart w:id="329" w:name="_DV_M211"/>
      <w:bookmarkEnd w:id="329"/>
      <w:r>
        <w:rPr>
          <w:color w:val="000000"/>
        </w:rPr>
        <w:t xml:space="preserve">  </w:t>
      </w:r>
      <w:r>
        <w:rPr>
          <w:color w:val="000000"/>
        </w:rPr>
        <w:t>The Company has filed all material Federal, state, local and foreign returns relating to Taxes (as hereinafter defined) which are required to be filed by it.  The Company has paid all Taxes pursuant to such returns or pursuant to any assessments received by it or which it is obligated to withhold from amounts owing to any employee, creditor or third party (and the Company has withheld all Taxes that it is obligated to withhold), except, in each case, for those which are not yet due and payable pursuant to such returns.  The  income tax returns of the Company have never been audited by state or Federal authorities.  As used herein, “</w:t>
      </w:r>
      <w:r>
        <w:rPr>
          <w:color w:val="000000"/>
          <w:u w:val="single"/>
        </w:rPr>
        <w:t>Taxes</w:t>
      </w:r>
      <w:r>
        <w:rPr>
          <w:color w:val="000000"/>
        </w:rPr>
        <w:t>” means all taxes, fees, levies, duties, charges and other assessments imposed by any Federal, state or local government, taxing authority, subdivision or agency thereof, including, without limitation, all income, franchise, property, excise, sales, use, payroll, unemployment and social security taxes and withholding, and all interest, penalties and additions to tax or additional amounts thereto.</w:t>
      </w:r>
    </w:p>
    <w:p>
      <w:pPr>
        <w:pStyle w:val="BodyText4"/>
        <w:rPr>
          <w:color w:val="000000"/>
        </w:rPr>
      </w:pPr>
      <w:r>
        <w:rPr>
          <w:color w:val="000000"/>
        </w:rPr>
      </w:r>
    </w:p>
    <w:p>
      <w:pPr>
        <w:pStyle w:val="BodyText4"/>
        <w:rPr>
          <w:b/>
          <w:bCs/>
          <w:i/>
          <w:i/>
          <w:iCs/>
          <w:color w:val="000000"/>
        </w:rPr>
      </w:pPr>
      <w:bookmarkStart w:id="330" w:name="_DV_M212"/>
      <w:bookmarkEnd w:id="330"/>
      <w:r>
        <w:rPr>
          <w:b/>
          <w:bCs/>
          <w:i/>
          <w:iCs/>
          <w:color w:val="000000"/>
        </w:rPr>
        <w:tab/>
        <w:t>[Comments to come on this Section from V&amp;E/Enron tax attorneys]</w:t>
      </w:r>
    </w:p>
    <w:p>
      <w:pPr>
        <w:pStyle w:val="Heading2"/>
        <w:rPr>
          <w:vanish/>
          <w:color w:val="000000"/>
        </w:rPr>
      </w:pPr>
      <w:bookmarkStart w:id="331" w:name="_DV_M213"/>
      <w:bookmarkEnd w:id="331"/>
      <w:r>
        <w:rPr>
          <w:color w:val="000000"/>
        </w:rPr>
        <w:t>Agreements</w:t>
      </w:r>
      <w:r>
        <w:rPr>
          <w:color w:val="000000"/>
          <w:u w:val="none"/>
        </w:rPr>
        <w:t>.</w:t>
      </w:r>
    </w:p>
    <w:p>
      <w:pPr>
        <w:pStyle w:val="BodyText4"/>
        <w:rPr/>
      </w:pPr>
      <w:bookmarkStart w:id="332" w:name="_DV_M214"/>
      <w:bookmarkEnd w:id="332"/>
      <w:r>
        <w:rPr>
          <w:color w:val="000000"/>
        </w:rPr>
        <w:t xml:space="preserve">  </w:t>
      </w:r>
      <w:r>
        <w:rPr>
          <w:color w:val="000000"/>
        </w:rPr>
        <w:t xml:space="preserve">Except as set forth in </w:t>
      </w:r>
      <w:r>
        <w:rPr>
          <w:b/>
          <w:bCs/>
          <w:color w:val="000000"/>
          <w:u w:val="single"/>
        </w:rPr>
        <w:t>Schedule 2.13</w:t>
      </w:r>
      <w:r>
        <w:rPr>
          <w:color w:val="000000"/>
        </w:rPr>
        <w:t>, the Company is not currently a party to any written or oral (a) agreement or indenture relating to the borrowing of money or to the mortgaging, pledging or otherwise placing a Lien on any assets of the Company; (b) guaranty of any obligation for borrowed money or otherwise; (c) lease or agreement under which the Company is lessee of or holds or operates any tangible property, real or personal, owned by any other party; (d) agreement which requires future expenditures by the Company in excess of $100,000 or which might result in payments to the Company in excess of $100,000, (e) employment or consulting agreement, any “employee benefit plan” (as that term is defined in the Employee Retirement Income Security Act of 1974, as amended (“</w:t>
      </w:r>
      <w:r>
        <w:rPr>
          <w:color w:val="000000"/>
          <w:u w:val="single"/>
        </w:rPr>
        <w:t>ERISA</w:t>
      </w:r>
      <w:r>
        <w:rPr>
          <w:color w:val="000000"/>
        </w:rPr>
        <w:t>”)), severance, bonus, pension, profit-sharing, stock option, stock purchase, executive or employee compensation or similar plan or arrangement; (f) agreement with any Subsidiary, current or former stockholder, officer or director of the Company, or any “affiliate” or “associate” of such persons (as such terms are defined in the rules and regulations promulgated under the Securities Act of 1933, as amended (the “</w:t>
      </w:r>
      <w:r>
        <w:rPr>
          <w:color w:val="000000"/>
          <w:u w:val="single"/>
        </w:rPr>
        <w:t>Securities Act</w:t>
      </w:r>
      <w:r>
        <w:rPr>
          <w:color w:val="000000"/>
        </w:rPr>
        <w:t>”), including without limitation any agreement or other arrangement providing for the furnishing of services by, rental of real or personal property from, or otherwise requiring payments by or to, any such person or entity); (g) agreement under which the Company is restricted from carrying on any business or that otherwise materially restrict the Company in the operation of its business anywhere in the world; (h) agreement for the disposition of a material portion of the Company’s assets (other than for the sale of inventory in the ordinary course of business); (i) agreement for the acquisition of the business or debt or equity securities of another party; (j) agreement which relates to the voting or ownership of the Company’s securities and (k) agreement which is otherwise material to the Company or its business (such contracts, agreements, arrangements, understandings or commitments are collectively referred to herein as the “</w:t>
      </w:r>
      <w:r>
        <w:rPr>
          <w:color w:val="000000"/>
          <w:u w:val="single"/>
        </w:rPr>
        <w:t>Material Agreements</w:t>
      </w:r>
      <w:r>
        <w:rPr>
          <w:color w:val="000000"/>
        </w:rPr>
        <w:t>”).  All Material Agreements are in full force and effect, and the Company, and to the best of the Company’s knowledge, each other party thereto are not in default (with due notice or lapse of time or both) under any Material Agreement.  The Company has delivered to the Investor or made available for the Investor to review true and complete copies of each Material Agreement.</w:t>
      </w:r>
    </w:p>
    <w:p>
      <w:pPr>
        <w:pStyle w:val="Heading2"/>
        <w:rPr>
          <w:vanish/>
          <w:color w:val="000000"/>
        </w:rPr>
      </w:pPr>
      <w:bookmarkStart w:id="333" w:name="_DV_M215"/>
      <w:bookmarkEnd w:id="333"/>
      <w:r>
        <w:rPr>
          <w:color w:val="000000"/>
        </w:rPr>
        <w:t>Compliance</w:t>
      </w:r>
      <w:r>
        <w:rPr>
          <w:color w:val="000000"/>
          <w:u w:val="none"/>
        </w:rPr>
        <w:t>.</w:t>
      </w:r>
    </w:p>
    <w:p>
      <w:pPr>
        <w:pStyle w:val="BodyText4"/>
        <w:rPr>
          <w:color w:val="000000"/>
        </w:rPr>
      </w:pPr>
      <w:bookmarkStart w:id="334" w:name="_DV_M216"/>
      <w:bookmarkEnd w:id="334"/>
      <w:r>
        <w:rPr>
          <w:color w:val="000000"/>
        </w:rPr>
        <w:t xml:space="preserve">  </w:t>
      </w:r>
      <w:r>
        <w:rPr>
          <w:color w:val="000000"/>
        </w:rPr>
        <w:t>The Company has (a) complied in all respects with all Federal, state, local or foreign laws, statutes, ordinances, rules, regulations and orders applicable to its business and (b) all Federal, state, local and foreign governmental licenses, registrations and permits material to or necessary for the conduct of its business, the failure to comply with which could reasonably be expected to have a Material Adverse Effect and such licenses, registrations and permits are in full force and effect.  No proceeding is pending or, to the Company’s knowledge, threatened to revoke or limit any thereof.</w:t>
      </w:r>
    </w:p>
    <w:p>
      <w:pPr>
        <w:pStyle w:val="Heading2"/>
        <w:rPr>
          <w:vanish/>
          <w:color w:val="000000"/>
        </w:rPr>
      </w:pPr>
      <w:bookmarkStart w:id="335" w:name="_DV_M217"/>
      <w:bookmarkEnd w:id="335"/>
      <w:r>
        <w:rPr>
          <w:color w:val="000000"/>
        </w:rPr>
        <w:t>Insurance</w:t>
      </w:r>
      <w:r>
        <w:rPr>
          <w:color w:val="000000"/>
          <w:u w:val="none"/>
        </w:rPr>
        <w:t>.</w:t>
      </w:r>
    </w:p>
    <w:p>
      <w:pPr>
        <w:pStyle w:val="BodyText4"/>
        <w:rPr>
          <w:color w:val="000000"/>
        </w:rPr>
      </w:pPr>
      <w:bookmarkStart w:id="336" w:name="_DV_M218"/>
      <w:bookmarkEnd w:id="336"/>
      <w:r>
        <w:rPr>
          <w:color w:val="000000"/>
        </w:rPr>
        <w:t xml:space="preserve">  </w:t>
      </w:r>
      <w:r>
        <w:rPr>
          <w:color w:val="000000"/>
        </w:rPr>
        <w:t>The Company maintains as to its properties and business, with financially sound and reputable insurers, insurance against such casualties and contingencies and of such types and in such amounts as is customary for companies similarly situated.  The Company has not received any notice from any insurance carrier claiming that the Company is in default with respect to any provision contained in any insurance policy.  There is no claim by the Company pending under any of such policies as to which coverage has been questioned, denied or disputed by the underwriters of such policies.</w:t>
      </w:r>
    </w:p>
    <w:p>
      <w:pPr>
        <w:pStyle w:val="Heading2"/>
        <w:rPr>
          <w:vanish/>
          <w:color w:val="000000"/>
        </w:rPr>
      </w:pPr>
      <w:bookmarkStart w:id="337" w:name="_DV_M219"/>
      <w:bookmarkEnd w:id="337"/>
      <w:r>
        <w:rPr>
          <w:color w:val="000000"/>
        </w:rPr>
        <w:t>No Governmental Consent or Approval Required</w:t>
      </w:r>
      <w:r>
        <w:rPr>
          <w:color w:val="000000"/>
          <w:u w:val="none"/>
        </w:rPr>
        <w:t>.</w:t>
      </w:r>
    </w:p>
    <w:p>
      <w:pPr>
        <w:pStyle w:val="BodyText4"/>
        <w:rPr/>
      </w:pPr>
      <w:bookmarkStart w:id="338" w:name="_DV_M220"/>
      <w:bookmarkEnd w:id="338"/>
      <w:r>
        <w:rPr>
          <w:color w:val="000000"/>
        </w:rPr>
        <w:t xml:space="preserve">  </w:t>
      </w:r>
      <w:r>
        <w:rPr>
          <w:color w:val="000000"/>
        </w:rPr>
        <w:t xml:space="preserve">Subject to the accuracy of the representations and warranties of the Investor set forth in Article III, no authorization, consent, approval or other order of, declaration to, or filing with, any governmental agency or body or any other person is required for or in connection with the valid and lawful authorization, execution, delivery and performance by the Company of this Agreement and the Related Agreements, for or in connection with the valid and lawful authorization, issuance, sale and delivery of the Shares, </w:t>
      </w:r>
      <w:bookmarkStart w:id="339" w:name="_DV_C118"/>
      <w:r>
        <w:rPr>
          <w:rStyle w:val="DeltaViewDeletion"/>
        </w:rPr>
        <w:t xml:space="preserve">the Warrant or the Common Stock issuable upon exercise of the Warrant </w:t>
      </w:r>
      <w:bookmarkStart w:id="340" w:name="_DV_M221"/>
      <w:bookmarkEnd w:id="339"/>
      <w:bookmarkEnd w:id="340"/>
      <w:r>
        <w:rPr>
          <w:color w:val="000000"/>
        </w:rPr>
        <w:t xml:space="preserve">other than (i) filings pursuant to Federal or state securities laws (all of which filings have been made by the Company, other than those which are required to be made after the Closing and which will be duly made on a timely basis) in connection with the sale of the Shares all of which filings are listed on </w:t>
      </w:r>
      <w:r>
        <w:rPr>
          <w:b/>
          <w:bCs/>
          <w:color w:val="000000"/>
          <w:u w:val="single"/>
        </w:rPr>
        <w:t>Schedule 2.16</w:t>
      </w:r>
      <w:r>
        <w:rPr>
          <w:color w:val="000000"/>
        </w:rPr>
        <w:t xml:space="preserve"> and (ii) with respect to the [Amended and Restated] Registration Rights Agreement, the registration of the shares covered thereby with the Securities and Exchange Commission (the “</w:t>
      </w:r>
      <w:r>
        <w:rPr>
          <w:color w:val="000000"/>
          <w:u w:val="single"/>
        </w:rPr>
        <w:t>Commission</w:t>
      </w:r>
      <w:r>
        <w:rPr>
          <w:color w:val="000000"/>
        </w:rPr>
        <w:t>”) and filings pursuant to state securities laws.</w:t>
      </w:r>
    </w:p>
    <w:p>
      <w:pPr>
        <w:pStyle w:val="Heading2"/>
        <w:rPr>
          <w:vanish/>
          <w:color w:val="000000"/>
        </w:rPr>
      </w:pPr>
      <w:bookmarkStart w:id="341" w:name="_DV_M222"/>
      <w:bookmarkEnd w:id="341"/>
      <w:r>
        <w:rPr>
          <w:color w:val="000000"/>
        </w:rPr>
        <w:t>Registration Rights</w:t>
      </w:r>
      <w:r>
        <w:rPr>
          <w:color w:val="000000"/>
          <w:u w:val="none"/>
        </w:rPr>
        <w:t>.</w:t>
      </w:r>
    </w:p>
    <w:p>
      <w:pPr>
        <w:pStyle w:val="BodyText4"/>
        <w:rPr>
          <w:color w:val="000000"/>
        </w:rPr>
      </w:pPr>
      <w:bookmarkStart w:id="342" w:name="_DV_M223"/>
      <w:bookmarkEnd w:id="342"/>
      <w:r>
        <w:rPr>
          <w:color w:val="000000"/>
        </w:rPr>
        <w:t xml:space="preserve">  </w:t>
      </w:r>
      <w:r>
        <w:rPr>
          <w:color w:val="000000"/>
        </w:rPr>
        <w:t>Except as contemplated by the [Amended and Restated] Registration Rights Agreement, no person has any right to cause the Company to effect the registration under the Securities Act of any shares of Common Stock or any other securities of the Company whether now outstanding or hereafter issued.</w:t>
      </w:r>
    </w:p>
    <w:p>
      <w:pPr>
        <w:pStyle w:val="Heading2"/>
        <w:rPr>
          <w:vanish/>
          <w:color w:val="000000"/>
        </w:rPr>
      </w:pPr>
      <w:bookmarkStart w:id="343" w:name="_DV_M224"/>
      <w:bookmarkEnd w:id="343"/>
      <w:r>
        <w:rPr>
          <w:color w:val="000000"/>
        </w:rPr>
        <w:t>Brokers</w:t>
      </w:r>
      <w:r>
        <w:rPr>
          <w:color w:val="000000"/>
          <w:u w:val="none"/>
        </w:rPr>
        <w:t>.</w:t>
      </w:r>
    </w:p>
    <w:p>
      <w:pPr>
        <w:pStyle w:val="BodyText4"/>
        <w:rPr>
          <w:color w:val="000000"/>
        </w:rPr>
      </w:pPr>
      <w:bookmarkStart w:id="344" w:name="_DV_M225"/>
      <w:bookmarkEnd w:id="344"/>
      <w:r>
        <w:rPr>
          <w:color w:val="000000"/>
        </w:rPr>
        <w:t xml:space="preserve">  </w:t>
      </w:r>
      <w:r>
        <w:rPr>
          <w:color w:val="000000"/>
        </w:rPr>
        <w:t>The Company has not employed any agent, broker or finder in connection with the transactions contemplated by this Agreement or any of the Related Agreements.</w:t>
      </w:r>
    </w:p>
    <w:p>
      <w:pPr>
        <w:pStyle w:val="Heading2"/>
        <w:rPr>
          <w:vanish/>
          <w:color w:val="000000"/>
        </w:rPr>
      </w:pPr>
      <w:bookmarkStart w:id="345" w:name="_DV_M226"/>
      <w:bookmarkEnd w:id="345"/>
      <w:r>
        <w:rPr>
          <w:color w:val="000000"/>
        </w:rPr>
        <w:t>Environmental Matters</w:t>
      </w:r>
      <w:r>
        <w:rPr>
          <w:color w:val="000000"/>
          <w:u w:val="none"/>
        </w:rPr>
        <w:t>.</w:t>
      </w:r>
    </w:p>
    <w:p>
      <w:pPr>
        <w:pStyle w:val="BodyText4"/>
        <w:rPr>
          <w:color w:val="000000"/>
        </w:rPr>
      </w:pPr>
      <w:bookmarkStart w:id="346" w:name="_DV_M227"/>
      <w:bookmarkEnd w:id="346"/>
      <w:r>
        <w:rPr>
          <w:color w:val="000000"/>
        </w:rPr>
        <w:t xml:space="preserve">  </w:t>
      </w:r>
      <w:r>
        <w:rPr>
          <w:color w:val="000000"/>
        </w:rPr>
        <w:t>The Company is not in violation of any applicable statute, law or regulation relating to the environment or occupational health and safety, and, no material expenditures are or will be required in order to comply with any such existing statute, law or regulation.</w:t>
      </w:r>
    </w:p>
    <w:p>
      <w:pPr>
        <w:pStyle w:val="Heading2"/>
        <w:rPr>
          <w:vanish/>
          <w:color w:val="000000"/>
        </w:rPr>
      </w:pPr>
      <w:bookmarkStart w:id="347" w:name="_DV_M228"/>
      <w:bookmarkEnd w:id="347"/>
      <w:r>
        <w:rPr>
          <w:color w:val="000000"/>
        </w:rPr>
        <w:t>Employees</w:t>
      </w:r>
      <w:r>
        <w:rPr>
          <w:color w:val="000000"/>
          <w:u w:val="none"/>
        </w:rPr>
        <w:t>.</w:t>
      </w:r>
    </w:p>
    <w:p>
      <w:pPr>
        <w:pStyle w:val="BodyText4"/>
        <w:rPr>
          <w:color w:val="000000"/>
        </w:rPr>
      </w:pPr>
      <w:bookmarkStart w:id="348" w:name="_DV_M229"/>
      <w:bookmarkEnd w:id="348"/>
      <w:r>
        <w:rPr>
          <w:color w:val="000000"/>
        </w:rPr>
        <w:t xml:space="preserve">  </w:t>
      </w:r>
      <w:r>
        <w:rPr>
          <w:color w:val="000000"/>
        </w:rPr>
        <w:t xml:space="preserve">The Company has complied with </w:t>
      </w:r>
      <w:bookmarkStart w:id="349" w:name="_DV_M230"/>
      <w:bookmarkEnd w:id="349"/>
      <w:r>
        <w:rPr>
          <w:color w:val="000000"/>
        </w:rPr>
        <w:t xml:space="preserve">all applicable laws relating to wages, hours, equal opportunity, collective bargaining, workers’ compensation insurance and the payment of social security and other taxes.  None of the employees of the Company is represented by any labor union, and there is no labor strike or </w:t>
      </w:r>
      <w:bookmarkStart w:id="350" w:name="_DV_M231"/>
      <w:bookmarkEnd w:id="350"/>
      <w:r>
        <w:rPr>
          <w:color w:val="000000"/>
        </w:rPr>
        <w:t>other labor trouble pending with respect to the Company (including, without limitation, any organizational drive) or, to the best of the Company’s knowledge, threatened.</w:t>
      </w:r>
    </w:p>
    <w:p>
      <w:pPr>
        <w:pStyle w:val="Heading2"/>
        <w:rPr>
          <w:vanish/>
          <w:color w:val="000000"/>
        </w:rPr>
      </w:pPr>
      <w:bookmarkStart w:id="351" w:name="_DV_M232"/>
      <w:bookmarkEnd w:id="351"/>
      <w:r>
        <w:rPr>
          <w:color w:val="000000"/>
        </w:rPr>
        <w:t>Benefits Plans</w:t>
      </w:r>
      <w:r>
        <w:rPr>
          <w:color w:val="000000"/>
          <w:u w:val="none"/>
        </w:rPr>
        <w:t>.</w:t>
      </w:r>
    </w:p>
    <w:p>
      <w:pPr>
        <w:pStyle w:val="Heading3"/>
        <w:rPr>
          <w:color w:val="000000"/>
        </w:rPr>
      </w:pPr>
      <w:bookmarkStart w:id="352" w:name="_DV_M233"/>
      <w:bookmarkEnd w:id="352"/>
      <w:r>
        <w:rPr>
          <w:color w:val="000000"/>
        </w:rPr>
        <w:t xml:space="preserve">Except as could not reasonably be expected to result in a Material Adverse Effect in the aggregate, the plans and programs disclosed in </w:t>
      </w:r>
      <w:r>
        <w:rPr>
          <w:b/>
          <w:bCs/>
          <w:color w:val="000000"/>
          <w:u w:val="single"/>
        </w:rPr>
        <w:t>Schedule 2.13</w:t>
      </w:r>
      <w:r>
        <w:rPr>
          <w:color w:val="000000"/>
        </w:rPr>
        <w:t xml:space="preserve"> have been operated and maintained in compliance with their governing documents and all applicable laws and have had all of their required contributions made in a timely manner.</w:t>
      </w:r>
    </w:p>
    <w:p>
      <w:pPr>
        <w:pStyle w:val="Heading3"/>
        <w:rPr>
          <w:color w:val="000000"/>
        </w:rPr>
      </w:pPr>
      <w:bookmarkStart w:id="353" w:name="_DV_M234"/>
      <w:bookmarkEnd w:id="353"/>
      <w:r>
        <w:rPr>
          <w:color w:val="000000"/>
        </w:rPr>
        <w:t>Neither the Company, nor any trade or business (whether or not incorporated) which together with the Company would be deemed to be a “single employer” within the meaning of Section 4001(b) of ERISA, sponsors, maintains or contributes to, or has at any time in the six-year period preceding the date of this Agreement sponsored, maintained or contributed to any employee pension benefit plan, as defined in Section 3(2) of ERISA, subject to Section 412 of the Internal Revenue Code of 1986, as amended, or subject to Title IV of ERISA.</w:t>
      </w:r>
    </w:p>
    <w:p>
      <w:pPr>
        <w:pStyle w:val="Heading3"/>
        <w:rPr>
          <w:color w:val="000000"/>
        </w:rPr>
      </w:pPr>
      <w:bookmarkStart w:id="354" w:name="_DV_M235"/>
      <w:bookmarkEnd w:id="354"/>
      <w:r>
        <w:rPr>
          <w:color w:val="000000"/>
        </w:rPr>
        <w:t xml:space="preserve">The consummation of the transactions contemplated by this Agreement and the Related Agreements will not result in a payment to any employee of the Company of any money or other property or result in the acceleration of any other rights or benefits to any such employee under any plan or program disclosed in </w:t>
      </w:r>
      <w:r>
        <w:rPr>
          <w:b/>
          <w:bCs/>
          <w:color w:val="000000"/>
          <w:u w:val="single"/>
        </w:rPr>
        <w:t>Schedule 2.13</w:t>
      </w:r>
      <w:r>
        <w:rPr>
          <w:color w:val="000000"/>
        </w:rPr>
        <w:t xml:space="preserve"> or otherwise.</w:t>
      </w:r>
    </w:p>
    <w:p>
      <w:pPr>
        <w:pStyle w:val="Heading2"/>
        <w:rPr>
          <w:vanish/>
          <w:color w:val="000000"/>
        </w:rPr>
      </w:pPr>
      <w:bookmarkStart w:id="355" w:name="_DV_M236"/>
      <w:bookmarkEnd w:id="355"/>
      <w:r>
        <w:rPr>
          <w:color w:val="000000"/>
        </w:rPr>
        <w:t>Books and Records</w:t>
      </w:r>
      <w:r>
        <w:rPr>
          <w:color w:val="000000"/>
          <w:u w:val="none"/>
        </w:rPr>
        <w:t>.</w:t>
      </w:r>
    </w:p>
    <w:p>
      <w:pPr>
        <w:pStyle w:val="BodyText4"/>
        <w:rPr>
          <w:color w:val="000000"/>
        </w:rPr>
      </w:pPr>
      <w:bookmarkStart w:id="356" w:name="_DV_M237"/>
      <w:bookmarkEnd w:id="356"/>
      <w:r>
        <w:rPr>
          <w:color w:val="000000"/>
        </w:rPr>
        <w:t xml:space="preserve">  </w:t>
      </w:r>
      <w:r>
        <w:rPr>
          <w:color w:val="000000"/>
        </w:rPr>
        <w:t xml:space="preserve">The minute books of the Company contain complete and accurate records of all meetings and other corporate actions of its stockholders and its Board </w:t>
      </w:r>
      <w:bookmarkStart w:id="357" w:name="_DV_M238"/>
      <w:bookmarkEnd w:id="357"/>
      <w:r>
        <w:rPr>
          <w:color w:val="000000"/>
        </w:rPr>
        <w:t>of Directors and committees thereof.  The stock ledger of the Company is complete and reflects all issuances, transfers, repurchases and cancellations of shares of capital stock of the Company.</w:t>
      </w:r>
    </w:p>
    <w:p>
      <w:pPr>
        <w:pStyle w:val="Heading2"/>
        <w:rPr>
          <w:vanish/>
          <w:color w:val="000000"/>
        </w:rPr>
      </w:pPr>
      <w:bookmarkStart w:id="358" w:name="_DV_M239"/>
      <w:bookmarkEnd w:id="358"/>
      <w:r>
        <w:rPr>
          <w:color w:val="000000"/>
        </w:rPr>
        <w:t>U.S. Real Property Holding Corporation</w:t>
      </w:r>
      <w:r>
        <w:rPr>
          <w:color w:val="000000"/>
          <w:u w:val="none"/>
        </w:rPr>
        <w:t>.</w:t>
      </w:r>
    </w:p>
    <w:p>
      <w:pPr>
        <w:pStyle w:val="BodyText4"/>
        <w:rPr>
          <w:color w:val="000000"/>
        </w:rPr>
      </w:pPr>
      <w:bookmarkStart w:id="359" w:name="_DV_M240"/>
      <w:bookmarkEnd w:id="359"/>
      <w:r>
        <w:rPr>
          <w:color w:val="000000"/>
        </w:rPr>
        <w:t xml:space="preserve">  </w:t>
      </w:r>
      <w:r>
        <w:rPr>
          <w:color w:val="000000"/>
        </w:rPr>
        <w:t>The</w:t>
      </w:r>
      <w:bookmarkStart w:id="360" w:name="_DV_M241"/>
      <w:bookmarkEnd w:id="360"/>
      <w:r>
        <w:rPr>
          <w:color w:val="000000"/>
        </w:rPr>
        <w:t xml:space="preserve"> Company is not now and has never been a “United States Real Property Holding Corporation” as defined in</w:t>
      </w:r>
      <w:bookmarkStart w:id="361" w:name="_DV_M242"/>
      <w:bookmarkEnd w:id="361"/>
      <w:r>
        <w:rPr>
          <w:color w:val="000000"/>
        </w:rPr>
        <w:t xml:space="preserve"> </w:t>
      </w:r>
      <w:bookmarkStart w:id="362" w:name="_DV_M243"/>
      <w:bookmarkEnd w:id="362"/>
      <w:r>
        <w:rPr>
          <w:color w:val="000000"/>
        </w:rPr>
        <w:t>Section 897(c)(2) of the Internal Revenue Code and Section 1.897-2(b) of the IRS Regulations.</w:t>
      </w:r>
    </w:p>
    <w:p>
      <w:pPr>
        <w:pStyle w:val="Heading2"/>
        <w:rPr>
          <w:vanish/>
          <w:color w:val="000000"/>
        </w:rPr>
      </w:pPr>
      <w:bookmarkStart w:id="363" w:name="_DV_M244"/>
      <w:bookmarkEnd w:id="363"/>
      <w:r>
        <w:rPr>
          <w:color w:val="000000"/>
        </w:rPr>
        <w:t>Investment Company Act</w:t>
      </w:r>
      <w:r>
        <w:rPr>
          <w:color w:val="000000"/>
          <w:u w:val="none"/>
        </w:rPr>
        <w:t>.</w:t>
      </w:r>
    </w:p>
    <w:p>
      <w:pPr>
        <w:pStyle w:val="BodyText4"/>
        <w:rPr/>
      </w:pPr>
      <w:bookmarkStart w:id="364" w:name="_DV_M245"/>
      <w:bookmarkEnd w:id="364"/>
      <w:r>
        <w:rPr>
          <w:color w:val="000000"/>
        </w:rPr>
        <w:t xml:space="preserve">  </w:t>
      </w:r>
      <w:r>
        <w:rPr>
          <w:color w:val="000000"/>
        </w:rPr>
        <w:t>The</w:t>
      </w:r>
      <w:bookmarkStart w:id="365" w:name="_DV_M246"/>
      <w:bookmarkEnd w:id="365"/>
      <w:r>
        <w:rPr>
          <w:color w:val="000000"/>
        </w:rPr>
        <w:t xml:space="preserve"> Company is not, and after giving effect to the offering and sale of the Shares</w:t>
      </w:r>
      <w:bookmarkStart w:id="366" w:name="_DV_C119"/>
      <w:r>
        <w:rPr>
          <w:rStyle w:val="DeltaViewDeletion"/>
        </w:rPr>
        <w:t>, the Warrant and the Common Stock issuable upon exercise of the Warrant</w:t>
      </w:r>
      <w:bookmarkStart w:id="367" w:name="_DV_M247"/>
      <w:bookmarkEnd w:id="366"/>
      <w:bookmarkEnd w:id="367"/>
      <w:r>
        <w:rPr>
          <w:color w:val="000000"/>
        </w:rPr>
        <w:t xml:space="preserve"> will not be, an “investment company” or entity controlled by an “investment company,” as such terms are defined in the Investment Company Act of 1940, as amended.</w:t>
      </w:r>
    </w:p>
    <w:p>
      <w:pPr>
        <w:pStyle w:val="Heading2"/>
        <w:rPr>
          <w:vanish/>
          <w:color w:val="000000"/>
        </w:rPr>
      </w:pPr>
      <w:bookmarkStart w:id="368" w:name="_DV_M248"/>
      <w:bookmarkEnd w:id="368"/>
      <w:r>
        <w:rPr>
          <w:color w:val="000000"/>
        </w:rPr>
        <w:t>Licenses and Permits</w:t>
      </w:r>
      <w:r>
        <w:rPr>
          <w:color w:val="000000"/>
          <w:u w:val="none"/>
        </w:rPr>
        <w:t>.</w:t>
      </w:r>
    </w:p>
    <w:p>
      <w:pPr>
        <w:pStyle w:val="BodyText4"/>
        <w:rPr/>
      </w:pPr>
      <w:bookmarkStart w:id="369" w:name="_DV_M249"/>
      <w:bookmarkEnd w:id="369"/>
      <w:r>
        <w:rPr>
          <w:color w:val="000000"/>
        </w:rPr>
        <w:t xml:space="preserve">  </w:t>
      </w:r>
      <w:r>
        <w:rPr>
          <w:color w:val="000000"/>
        </w:rPr>
        <w:t>The Company has all necessary licenses, franchises permits, certificates, approvals or other similar authorizations affecting, or relating in any way to, the assets or business of the Company (the “</w:t>
      </w:r>
      <w:r>
        <w:rPr>
          <w:color w:val="000000"/>
          <w:u w:val="single"/>
        </w:rPr>
        <w:t>Permits</w:t>
      </w:r>
      <w:r>
        <w:rPr>
          <w:color w:val="000000"/>
        </w:rPr>
        <w:t>”).  Except for such matters as would not, individually or in the aggregate, have a Material Adverse Effect, (i) the Permits are valid and in full force and effect, (ii) the Company is not in default under, and no condition exists that with notice or lapse of time or both would constitute a default under, the Permits and (iii) none of the Permits will be terminated or impaired or become terminable, in whole or in part, as a result of the transactions contemplated by this Agreement or the Related Agreements.</w:t>
      </w:r>
    </w:p>
    <w:p>
      <w:pPr>
        <w:pStyle w:val="Heading2"/>
        <w:keepNext w:val="true"/>
        <w:rPr>
          <w:color w:val="000000"/>
        </w:rPr>
      </w:pPr>
      <w:bookmarkStart w:id="370" w:name="_DV_M250"/>
      <w:bookmarkEnd w:id="370"/>
      <w:r>
        <w:rPr>
          <w:color w:val="000000"/>
        </w:rPr>
        <w:t>Transaction Information</w:t>
      </w:r>
      <w:r>
        <w:rPr>
          <w:color w:val="000000"/>
          <w:u w:val="none"/>
        </w:rPr>
        <w:t>.</w:t>
      </w:r>
    </w:p>
    <w:p>
      <w:pPr>
        <w:pStyle w:val="Heading3"/>
        <w:keepNext w:val="true"/>
        <w:rPr>
          <w:color w:val="000000"/>
        </w:rPr>
      </w:pPr>
      <w:bookmarkStart w:id="371" w:name="_DV_M251"/>
      <w:bookmarkEnd w:id="371"/>
      <w:r>
        <w:rPr>
          <w:color w:val="000000"/>
        </w:rPr>
        <w:t>None of the documents or information, taken as a whole, delivered to the Investor in connection with the transactions contemplated by this Agreement or any of the Related Agreements contains any untrue statement of a material fact or omits to state a material fact necessary in order to make the statements contained therein not misleading.  There is no fact or circumstance known to the Company that has not been disclosed to the Investor which, individually or in the aggregate, would reasonably be expected to be material to the Investor’s investment decision respecting the Company.</w:t>
      </w:r>
    </w:p>
    <w:p>
      <w:pPr>
        <w:pStyle w:val="Heading3"/>
        <w:rPr>
          <w:color w:val="000000"/>
        </w:rPr>
      </w:pPr>
      <w:bookmarkStart w:id="372" w:name="_DV_M252"/>
      <w:bookmarkEnd w:id="372"/>
      <w:r>
        <w:rPr>
          <w:color w:val="000000"/>
        </w:rPr>
        <w:t>The representations and warranties of the Company contained in the Related Agreements are true and correct in all material respects.</w:t>
      </w:r>
    </w:p>
    <w:p>
      <w:pPr>
        <w:pStyle w:val="Heading1"/>
        <w:jc w:val="both"/>
        <w:rPr>
          <w:vanish/>
          <w:color w:val="000000"/>
        </w:rPr>
      </w:pPr>
      <w:bookmarkStart w:id="373" w:name="_DV_M253"/>
      <w:bookmarkEnd w:id="373"/>
      <w:r>
        <w:rPr>
          <w:color w:val="000000"/>
        </w:rPr>
        <w:t>Representations and Warranties of the Investor</w:t>
      </w:r>
      <w:r>
        <w:rPr>
          <w:color w:val="000000"/>
          <w:u w:val="none"/>
        </w:rPr>
        <w:t>.</w:t>
      </w:r>
    </w:p>
    <w:p>
      <w:pPr>
        <w:pStyle w:val="BodyText4"/>
        <w:rPr>
          <w:color w:val="000000"/>
        </w:rPr>
      </w:pPr>
      <w:bookmarkStart w:id="374" w:name="_DV_M254"/>
      <w:bookmarkEnd w:id="374"/>
      <w:r>
        <w:rPr>
          <w:color w:val="000000"/>
        </w:rPr>
        <w:t xml:space="preserve">  </w:t>
      </w:r>
      <w:r>
        <w:rPr>
          <w:color w:val="000000"/>
        </w:rPr>
        <w:t>The Investor represents and warrants to the Company that:</w:t>
      </w:r>
    </w:p>
    <w:p>
      <w:pPr>
        <w:pStyle w:val="Heading2"/>
        <w:rPr>
          <w:vanish/>
          <w:color w:val="000000"/>
        </w:rPr>
      </w:pPr>
      <w:bookmarkStart w:id="375" w:name="_DV_M255"/>
      <w:bookmarkEnd w:id="375"/>
      <w:r>
        <w:rPr>
          <w:color w:val="000000"/>
        </w:rPr>
        <w:t>Investment</w:t>
      </w:r>
      <w:r>
        <w:rPr>
          <w:color w:val="000000"/>
          <w:u w:val="none"/>
        </w:rPr>
        <w:t>.</w:t>
      </w:r>
    </w:p>
    <w:p>
      <w:pPr>
        <w:pStyle w:val="BodyText4"/>
        <w:rPr>
          <w:color w:val="000000"/>
        </w:rPr>
      </w:pPr>
      <w:bookmarkStart w:id="376" w:name="_DV_M256"/>
      <w:bookmarkEnd w:id="376"/>
      <w:r>
        <w:rPr>
          <w:color w:val="000000"/>
        </w:rPr>
        <w:t xml:space="preserve">  </w:t>
      </w:r>
      <w:r>
        <w:rPr>
          <w:color w:val="000000"/>
        </w:rPr>
        <w:t>The Investor is acquiring the Shares for its own account, for investment and not for, with a view to, or in connection with the distribution thereof.</w:t>
      </w:r>
    </w:p>
    <w:p>
      <w:pPr>
        <w:pStyle w:val="Heading2"/>
        <w:rPr>
          <w:vanish/>
          <w:color w:val="000000"/>
        </w:rPr>
      </w:pPr>
      <w:bookmarkStart w:id="377" w:name="_DV_M257"/>
      <w:bookmarkEnd w:id="377"/>
      <w:r>
        <w:rPr>
          <w:color w:val="000000"/>
        </w:rPr>
        <w:t>Access to Information</w:t>
      </w:r>
      <w:r>
        <w:rPr>
          <w:color w:val="000000"/>
          <w:u w:val="none"/>
        </w:rPr>
        <w:t>.</w:t>
      </w:r>
    </w:p>
    <w:p>
      <w:pPr>
        <w:pStyle w:val="BodyText4"/>
        <w:rPr>
          <w:color w:val="000000"/>
        </w:rPr>
      </w:pPr>
      <w:bookmarkStart w:id="378" w:name="_DV_M258"/>
      <w:bookmarkEnd w:id="378"/>
      <w:r>
        <w:rPr>
          <w:color w:val="000000"/>
        </w:rPr>
        <w:t xml:space="preserve">  </w:t>
      </w:r>
      <w:r>
        <w:rPr>
          <w:color w:val="000000"/>
        </w:rPr>
        <w:t>The Investor or its representative during the course of this transaction, and prior to the purchase of any Shares, has had the opportunity to ask questions of and receive answers from representatives of the Company concerning the terms and conditions of the offering of the Shares, and to obtain any additional information, documents, records and books relative to the Company, its business, necessary to make an informed investment decision relative to the financial data and business of the Company.</w:t>
      </w:r>
    </w:p>
    <w:p>
      <w:pPr>
        <w:pStyle w:val="Heading2"/>
        <w:rPr>
          <w:vanish/>
          <w:color w:val="000000"/>
        </w:rPr>
      </w:pPr>
      <w:bookmarkStart w:id="379" w:name="_DV_M259"/>
      <w:bookmarkEnd w:id="379"/>
      <w:r>
        <w:rPr>
          <w:color w:val="000000"/>
        </w:rPr>
        <w:t>General Access</w:t>
      </w:r>
      <w:r>
        <w:rPr>
          <w:color w:val="000000"/>
          <w:u w:val="none"/>
        </w:rPr>
        <w:t>.</w:t>
      </w:r>
    </w:p>
    <w:p>
      <w:pPr>
        <w:pStyle w:val="BodyText4"/>
        <w:rPr>
          <w:color w:val="000000"/>
        </w:rPr>
      </w:pPr>
      <w:bookmarkStart w:id="380" w:name="_DV_M260"/>
      <w:bookmarkEnd w:id="380"/>
      <w:r>
        <w:rPr>
          <w:color w:val="000000"/>
        </w:rPr>
        <w:t xml:space="preserve">  </w:t>
      </w:r>
      <w:r>
        <w:rPr>
          <w:color w:val="000000"/>
        </w:rPr>
        <w:t>The Investor or its representative have received and read or reviewed, and are familiar with, this Agreement and confirm that all documents, records and books pertaining to the Investor’s investment in the Company and requested by the Investor or its representative have been made available or delivered to it.</w:t>
      </w:r>
    </w:p>
    <w:p>
      <w:pPr>
        <w:pStyle w:val="Heading2"/>
        <w:rPr>
          <w:vanish/>
          <w:color w:val="000000"/>
        </w:rPr>
      </w:pPr>
      <w:bookmarkStart w:id="381" w:name="_DV_M261"/>
      <w:bookmarkEnd w:id="381"/>
      <w:r>
        <w:rPr>
          <w:color w:val="000000"/>
        </w:rPr>
        <w:t>Sophistication and Knowledge; Accredited Investor</w:t>
      </w:r>
      <w:r>
        <w:rPr>
          <w:color w:val="000000"/>
          <w:u w:val="none"/>
        </w:rPr>
        <w:t>.</w:t>
      </w:r>
    </w:p>
    <w:p>
      <w:pPr>
        <w:pStyle w:val="BodyText4"/>
        <w:rPr>
          <w:color w:val="000000"/>
        </w:rPr>
      </w:pPr>
      <w:bookmarkStart w:id="382" w:name="_DV_M262"/>
      <w:bookmarkEnd w:id="382"/>
      <w:r>
        <w:rPr>
          <w:color w:val="000000"/>
        </w:rPr>
        <w:t xml:space="preserve">  </w:t>
      </w:r>
      <w:r>
        <w:rPr>
          <w:color w:val="000000"/>
        </w:rPr>
        <w:t>The Investor (A) (i) has sufficient knowledge and experience in business and financial matters and with respect to investments in securities of privately held companies so as to enable it to analyze and evaluate the merits and risks of the investment contemplated hereby, and (ii) is able to bear the economic risk of such investment, and (B) is an “accredited investor” as that term is defined in Regulation D promulgated under the Securities Act.</w:t>
      </w:r>
    </w:p>
    <w:p>
      <w:pPr>
        <w:pStyle w:val="Heading2"/>
        <w:rPr>
          <w:vanish/>
          <w:color w:val="000000"/>
        </w:rPr>
      </w:pPr>
      <w:bookmarkStart w:id="383" w:name="_DV_M263"/>
      <w:bookmarkEnd w:id="383"/>
      <w:r>
        <w:rPr>
          <w:color w:val="000000"/>
        </w:rPr>
        <w:t>Power and Authority</w:t>
      </w:r>
      <w:r>
        <w:rPr>
          <w:color w:val="000000"/>
          <w:u w:val="none"/>
        </w:rPr>
        <w:t>.</w:t>
      </w:r>
    </w:p>
    <w:p>
      <w:pPr>
        <w:pStyle w:val="BodyText4"/>
        <w:rPr/>
      </w:pPr>
      <w:bookmarkStart w:id="384" w:name="_DV_M264"/>
      <w:bookmarkEnd w:id="384"/>
      <w:r>
        <w:rPr>
          <w:color w:val="000000"/>
        </w:rPr>
        <w:t xml:space="preserve">  </w:t>
      </w:r>
      <w:r>
        <w:rPr>
          <w:color w:val="000000"/>
        </w:rPr>
        <w:t>The Investor has all requisite power and authority to carry out the transactions contemplated hereby, and the execution, delivery and performance by the Investor of this Agreement and the Related Agreements to which the Investor is a party have been duly authorized by all requisite corporate action respecting the Investor.  This Agreement and the Related Agreements to which the Investor is a party have been duly executed and delivered on behalf of the Investor and constitute the valid and binding obligations of the Investor, enforceable against the Investor in accordance with their respective terms, subject to (i) laws of general application relating to bankruptcy, insolvency, and the relief of debtors, (ii) rules of law governing specific performance, injunctive relief, or other equitable remedies and (iii) the extent that the indemnification provisions of the [Amended and Restated] Registration Rights Agreement may be limited by applicable federal and state securities laws.  The execution, delivery and performance of this Agreement and the Related Agreements, and compliance with the provisions hereof and thereof by the Investor, do not and will not, with or without the passage of time or the giving of notice or both, (a) violate any law, rule, statute, regulation or ruling, order or judgment of any court, administrative agency or other governmental entity applicable to the Investor or any of its assets, (b) violate or conflict with any provision of its organizational documents as in effect on the Closing Date, (c) conflict with, result in a breach of, constitute a default under, result in the acceleration of, create in any party the right to accelerate, terminate, modify or cancel, or require any notice under any material contract to which the Investor is a party or by which any of the assets of the Investor are bound, or (d) result in the imposition of any lien upon any of the assets of the Investor, other than any such violations, conflicts, breaches, defaults or liens which individually or in the aggregate could not reasonably be expected to have a material adverse effect on the ability of the Investor to perform its obligations under this Agreement</w:t>
      </w:r>
      <w:bookmarkStart w:id="385" w:name="_DV_C120"/>
      <w:r>
        <w:rPr>
          <w:rStyle w:val="DeltaViewDeletion"/>
        </w:rPr>
        <w:t>, the Co-Marketing Agreement</w:t>
      </w:r>
      <w:bookmarkStart w:id="386" w:name="_DV_M265"/>
      <w:bookmarkEnd w:id="385"/>
      <w:bookmarkEnd w:id="386"/>
      <w:r>
        <w:rPr>
          <w:color w:val="000000"/>
        </w:rPr>
        <w:t xml:space="preserve"> and the Related Agreements.</w:t>
      </w:r>
    </w:p>
    <w:p>
      <w:pPr>
        <w:pStyle w:val="Heading1"/>
        <w:jc w:val="both"/>
        <w:rPr>
          <w:color w:val="000000"/>
        </w:rPr>
      </w:pPr>
      <w:bookmarkStart w:id="387" w:name="_DV_M266"/>
      <w:bookmarkEnd w:id="387"/>
      <w:r>
        <w:rPr>
          <w:color w:val="000000"/>
        </w:rPr>
        <w:t>Conditions Precedent to Closing</w:t>
      </w:r>
      <w:r>
        <w:rPr>
          <w:color w:val="000000"/>
          <w:u w:val="none"/>
        </w:rPr>
        <w:t>.</w:t>
      </w:r>
    </w:p>
    <w:p>
      <w:pPr>
        <w:pStyle w:val="Heading2"/>
        <w:rPr>
          <w:vanish/>
          <w:color w:val="000000"/>
        </w:rPr>
      </w:pPr>
      <w:bookmarkStart w:id="388" w:name="_DV_M267"/>
      <w:bookmarkEnd w:id="388"/>
      <w:r>
        <w:rPr>
          <w:color w:val="000000"/>
        </w:rPr>
        <w:t>Conditions Precedent to Closing by the Investor</w:t>
      </w:r>
      <w:r>
        <w:rPr>
          <w:color w:val="000000"/>
          <w:u w:val="none"/>
        </w:rPr>
        <w:t>.</w:t>
      </w:r>
    </w:p>
    <w:p>
      <w:pPr>
        <w:pStyle w:val="BodyText4"/>
        <w:rPr>
          <w:color w:val="000000"/>
        </w:rPr>
      </w:pPr>
      <w:bookmarkStart w:id="389" w:name="_DV_M268"/>
      <w:bookmarkEnd w:id="389"/>
      <w:r>
        <w:rPr>
          <w:color w:val="000000"/>
        </w:rPr>
        <w:t xml:space="preserve">  </w:t>
      </w:r>
      <w:r>
        <w:rPr>
          <w:color w:val="000000"/>
        </w:rPr>
        <w:t>The obligation of the Investor to purchase and pay for the Shares being purchased by the Investor is subject to satisfaction of the following conditions precedent at or before the Closing, all of which shall be deemed waived or satisfied for purposes of this Section 4.2 in the event all of the transactions contemplated to be effected at the Closing are consummated:</w:t>
      </w:r>
    </w:p>
    <w:p>
      <w:pPr>
        <w:pStyle w:val="Heading3"/>
        <w:rPr>
          <w:color w:val="000000"/>
        </w:rPr>
      </w:pPr>
      <w:bookmarkStart w:id="390" w:name="_DV_M269"/>
      <w:bookmarkEnd w:id="390"/>
      <w:r>
        <w:rPr>
          <w:color w:val="000000"/>
          <w:u w:val="single"/>
        </w:rPr>
        <w:t>Representations and Warranties Correct</w:t>
      </w:r>
      <w:r>
        <w:rPr>
          <w:color w:val="000000"/>
        </w:rPr>
        <w:t>.  The representations and warranties made by the Company in Section 2 shall be true and correct when made, and shall be true and correct at the time of the Closing, with the same force and effect as if they had been made at and as of the time of the Closing.</w:t>
      </w:r>
    </w:p>
    <w:p>
      <w:pPr>
        <w:pStyle w:val="Heading3"/>
        <w:rPr>
          <w:color w:val="000000"/>
        </w:rPr>
      </w:pPr>
      <w:bookmarkStart w:id="391" w:name="_DV_M270"/>
      <w:bookmarkEnd w:id="391"/>
      <w:r>
        <w:rPr>
          <w:color w:val="000000"/>
          <w:u w:val="single"/>
        </w:rPr>
        <w:t>Performance</w:t>
      </w:r>
      <w:r>
        <w:rPr>
          <w:color w:val="000000"/>
        </w:rPr>
        <w:t>.  The Company shall have performed and complied with all agreements and conditions contained in this Agreement and the Related Agreements required to be performed or complied with by the Company prior to or at the Closing.</w:t>
      </w:r>
    </w:p>
    <w:p>
      <w:pPr>
        <w:pStyle w:val="Heading3"/>
        <w:rPr>
          <w:color w:val="000000"/>
        </w:rPr>
      </w:pPr>
      <w:bookmarkStart w:id="392" w:name="_DV_M271"/>
      <w:bookmarkEnd w:id="392"/>
      <w:r>
        <w:rPr>
          <w:color w:val="000000"/>
          <w:u w:val="single"/>
        </w:rPr>
        <w:t>Opinion of Counsel</w:t>
      </w:r>
      <w:r>
        <w:rPr>
          <w:color w:val="000000"/>
        </w:rPr>
        <w:t xml:space="preserve">.  The Investor shall have received an opinion from the Company’s counsel dated the Closing Date, addressed to </w:t>
      </w:r>
      <w:bookmarkStart w:id="393" w:name="_DV_M273"/>
      <w:bookmarkStart w:id="394" w:name="_DV_M272"/>
      <w:bookmarkEnd w:id="393"/>
      <w:bookmarkEnd w:id="394"/>
      <w:r>
        <w:rPr>
          <w:color w:val="000000"/>
        </w:rPr>
        <w:t xml:space="preserve">the Investor, and satisfactory in form and substance to the Investor, in the form set forth in </w:t>
      </w:r>
      <w:r>
        <w:rPr>
          <w:color w:val="000000"/>
          <w:u w:val="single"/>
        </w:rPr>
        <w:t xml:space="preserve">Exhibit </w:t>
      </w:r>
      <w:bookmarkStart w:id="395" w:name="_DV_C121"/>
      <w:r>
        <w:rPr>
          <w:rStyle w:val="DeltaViewDeletion"/>
          <w:u w:val="single"/>
        </w:rPr>
        <w:t>C</w:t>
      </w:r>
      <w:bookmarkStart w:id="396" w:name="_DV_C122"/>
      <w:bookmarkEnd w:id="395"/>
      <w:r>
        <w:rPr>
          <w:rStyle w:val="DeltaViewInsertion"/>
        </w:rPr>
        <w:t>B</w:t>
      </w:r>
      <w:bookmarkStart w:id="397" w:name="_DV_M274"/>
      <w:bookmarkEnd w:id="396"/>
      <w:bookmarkEnd w:id="397"/>
      <w:r>
        <w:rPr>
          <w:color w:val="000000"/>
        </w:rPr>
        <w:t>, subject to customary assumptions, limitations and qualifications.</w:t>
      </w:r>
    </w:p>
    <w:p>
      <w:pPr>
        <w:pStyle w:val="Heading3"/>
        <w:rPr>
          <w:color w:val="000000"/>
        </w:rPr>
      </w:pPr>
      <w:bookmarkStart w:id="398" w:name="_DV_M275"/>
      <w:bookmarkEnd w:id="398"/>
      <w:r>
        <w:rPr>
          <w:color w:val="000000"/>
          <w:u w:val="single"/>
        </w:rPr>
        <w:t>Registration Rights Agreement</w:t>
      </w:r>
      <w:r>
        <w:rPr>
          <w:color w:val="000000"/>
        </w:rPr>
        <w:t xml:space="preserve">.  An [Amended and Restated] Registration Rights Agreement, substantially in the form attached in </w:t>
      </w:r>
      <w:r>
        <w:rPr>
          <w:color w:val="000000"/>
          <w:u w:val="single"/>
        </w:rPr>
        <w:t xml:space="preserve">Exhibit </w:t>
      </w:r>
      <w:bookmarkStart w:id="399" w:name="_DV_C123"/>
      <w:r>
        <w:rPr>
          <w:rStyle w:val="DeltaViewDeletion"/>
          <w:u w:val="single"/>
        </w:rPr>
        <w:t>D</w:t>
      </w:r>
      <w:bookmarkStart w:id="400" w:name="_DV_C124"/>
      <w:bookmarkEnd w:id="399"/>
      <w:r>
        <w:rPr>
          <w:rStyle w:val="DeltaViewInsertion"/>
        </w:rPr>
        <w:t>C</w:t>
      </w:r>
      <w:bookmarkStart w:id="401" w:name="_DV_M276"/>
      <w:bookmarkEnd w:id="400"/>
      <w:bookmarkEnd w:id="401"/>
      <w:r>
        <w:rPr>
          <w:color w:val="000000"/>
        </w:rPr>
        <w:t xml:space="preserve"> (the “</w:t>
      </w:r>
      <w:r>
        <w:rPr>
          <w:color w:val="000000"/>
          <w:u w:val="single"/>
        </w:rPr>
        <w:t>[Amended and Restated] Registration Rights Agreement</w:t>
      </w:r>
      <w:r>
        <w:rPr>
          <w:color w:val="000000"/>
        </w:rPr>
        <w:t>”), shall have been executed and delivered by the Company and the number of holders of Common Stock party to such agreement required for such amendment.</w:t>
      </w:r>
    </w:p>
    <w:p>
      <w:pPr>
        <w:pStyle w:val="Heading3"/>
        <w:rPr>
          <w:color w:val="000000"/>
        </w:rPr>
      </w:pPr>
      <w:bookmarkStart w:id="402" w:name="_DV_M277"/>
      <w:bookmarkEnd w:id="402"/>
      <w:r>
        <w:rPr>
          <w:color w:val="000000"/>
          <w:u w:val="single"/>
        </w:rPr>
        <w:t>Stockholders’ Agreement</w:t>
      </w:r>
      <w:r>
        <w:rPr>
          <w:color w:val="000000"/>
        </w:rPr>
        <w:t xml:space="preserve">.  The Company, R. Martin Chavez, [__________________] and Raj Mahajan, shall have executed a Stockholders’ Agreement substantially in the form attached in </w:t>
      </w:r>
      <w:r>
        <w:rPr>
          <w:color w:val="000000"/>
          <w:u w:val="single"/>
        </w:rPr>
        <w:t xml:space="preserve">Exhibit </w:t>
      </w:r>
      <w:bookmarkStart w:id="403" w:name="_DV_C125"/>
      <w:r>
        <w:rPr>
          <w:rStyle w:val="DeltaViewDeletion"/>
          <w:u w:val="single"/>
        </w:rPr>
        <w:t>E</w:t>
      </w:r>
      <w:bookmarkStart w:id="404" w:name="_DV_C126"/>
      <w:bookmarkEnd w:id="403"/>
      <w:r>
        <w:rPr>
          <w:rStyle w:val="DeltaViewInsertion"/>
        </w:rPr>
        <w:t>D</w:t>
      </w:r>
      <w:bookmarkStart w:id="405" w:name="_DV_M278"/>
      <w:bookmarkEnd w:id="404"/>
      <w:bookmarkEnd w:id="405"/>
      <w:r>
        <w:rPr>
          <w:color w:val="000000"/>
        </w:rPr>
        <w:t xml:space="preserve"> (the “</w:t>
      </w:r>
      <w:r>
        <w:rPr>
          <w:color w:val="000000"/>
          <w:u w:val="single"/>
        </w:rPr>
        <w:t>Stockholders</w:t>
      </w:r>
      <w:bookmarkStart w:id="406" w:name="_DV_C127"/>
      <w:r>
        <w:rPr>
          <w:rStyle w:val="DeltaViewInsertion"/>
        </w:rPr>
        <w:t>’</w:t>
      </w:r>
      <w:bookmarkStart w:id="407" w:name="_DV_M279"/>
      <w:bookmarkEnd w:id="406"/>
      <w:bookmarkEnd w:id="407"/>
      <w:r>
        <w:rPr>
          <w:color w:val="000000"/>
          <w:u w:val="single"/>
        </w:rPr>
        <w:t xml:space="preserve"> Agreement</w:t>
      </w:r>
      <w:r>
        <w:rPr>
          <w:color w:val="000000"/>
        </w:rPr>
        <w:t>”).</w:t>
      </w:r>
      <w:bookmarkStart w:id="408" w:name="_DV_C128"/>
      <w:r>
        <w:rPr>
          <w:rStyle w:val="DeltaViewInsertion"/>
        </w:rPr>
        <w:t xml:space="preserve">  </w:t>
      </w:r>
      <w:r>
        <w:rPr>
          <w:rStyle w:val="DeltaViewInsertion"/>
          <w:i/>
          <w:iCs/>
        </w:rPr>
        <w:t>[We may have comments on the parties once we see the revised capitalization table]</w:t>
      </w:r>
      <w:r>
        <w:rPr>
          <w:rStyle w:val="DeltaViewInsertion"/>
        </w:rPr>
        <w:t>.</w:t>
      </w:r>
      <w:bookmarkStart w:id="409" w:name="_DV_M280"/>
      <w:bookmarkEnd w:id="408"/>
      <w:bookmarkEnd w:id="409"/>
    </w:p>
    <w:p>
      <w:pPr>
        <w:pStyle w:val="Heading3"/>
        <w:rPr>
          <w:color w:val="000000"/>
        </w:rPr>
      </w:pPr>
      <w:bookmarkStart w:id="410" w:name="_DV_M281"/>
      <w:bookmarkEnd w:id="410"/>
      <w:r>
        <w:rPr>
          <w:color w:val="000000"/>
          <w:u w:val="single"/>
        </w:rPr>
        <w:t>Certificates and Documents</w:t>
      </w:r>
      <w:r>
        <w:rPr>
          <w:color w:val="000000"/>
        </w:rPr>
        <w:t>.  The Company shall have delivered to the Investor:</w:t>
      </w:r>
    </w:p>
    <w:p>
      <w:pPr>
        <w:pStyle w:val="Heading4"/>
        <w:jc w:val="both"/>
        <w:rPr>
          <w:color w:val="000000"/>
        </w:rPr>
      </w:pPr>
      <w:bookmarkStart w:id="411" w:name="_DV_M282"/>
      <w:bookmarkEnd w:id="411"/>
      <w:r>
        <w:rPr>
          <w:color w:val="000000"/>
        </w:rPr>
        <w:t>a copy of the Certificate of Incorporation, as in effect immediately prior to the Closing, certified by the Secretary of State of the State of Delaware, and a certificate, as of the most recent practicable date, of the Secretary of State of the State of Delaware as to the Company’s corporate good standing; and</w:t>
      </w:r>
    </w:p>
    <w:p>
      <w:pPr>
        <w:pStyle w:val="Heading4"/>
        <w:jc w:val="both"/>
        <w:rPr>
          <w:color w:val="000000"/>
        </w:rPr>
      </w:pPr>
      <w:bookmarkStart w:id="412" w:name="_DV_M283"/>
      <w:bookmarkEnd w:id="412"/>
      <w:r>
        <w:rPr>
          <w:color w:val="000000"/>
        </w:rPr>
        <w:t>a certificate of the Secretary of the Company dated as of the Closing Date, (i) certifying as to the incumbency of officers of the Company executing this Agreement, the Related Agreements and all other documents executed and delivered in connection herewith and therewith and (ii) to which shall be attached true, accurate and complete copies of the Company’s Bylaws and the resolutions of the Board of Directors of the Company authorizing the execution, delivery and performance by the Company of this Agreement and the Related Agreements, both of which attachments shall be certified by the Secretary.</w:t>
      </w:r>
    </w:p>
    <w:p>
      <w:pPr>
        <w:pStyle w:val="Heading3"/>
        <w:rPr>
          <w:color w:val="000000"/>
        </w:rPr>
      </w:pPr>
      <w:bookmarkStart w:id="413" w:name="_DV_M284"/>
      <w:bookmarkEnd w:id="413"/>
      <w:r>
        <w:rPr>
          <w:color w:val="000000"/>
          <w:u w:val="single"/>
        </w:rPr>
        <w:t>Employment Agreement</w:t>
      </w:r>
      <w:bookmarkStart w:id="414" w:name="_DV_C129"/>
      <w:r>
        <w:rPr>
          <w:rStyle w:val="DeltaViewDeletion"/>
          <w:u w:val="single"/>
        </w:rPr>
        <w:t>/Warrant</w:t>
      </w:r>
      <w:bookmarkStart w:id="415" w:name="_DV_M285"/>
      <w:bookmarkEnd w:id="414"/>
      <w:bookmarkEnd w:id="415"/>
      <w:r>
        <w:rPr>
          <w:color w:val="000000"/>
        </w:rPr>
        <w:t xml:space="preserve">.  The Company shall have entered into an Employment Agreement with R. Martin Chavez in the form of </w:t>
      </w:r>
      <w:r>
        <w:rPr>
          <w:color w:val="000000"/>
          <w:u w:val="single"/>
        </w:rPr>
        <w:t xml:space="preserve">Exhibit </w:t>
      </w:r>
      <w:bookmarkStart w:id="416" w:name="_DV_C130"/>
      <w:r>
        <w:rPr>
          <w:rStyle w:val="DeltaViewDeletion"/>
          <w:u w:val="single"/>
        </w:rPr>
        <w:t>F</w:t>
      </w:r>
      <w:bookmarkStart w:id="417" w:name="_DV_C131"/>
      <w:bookmarkEnd w:id="416"/>
      <w:r>
        <w:rPr>
          <w:rStyle w:val="DeltaViewInsertion"/>
        </w:rPr>
        <w:t>E</w:t>
      </w:r>
      <w:bookmarkStart w:id="418" w:name="_DV_M286"/>
      <w:bookmarkEnd w:id="417"/>
      <w:bookmarkEnd w:id="418"/>
      <w:r>
        <w:rPr>
          <w:color w:val="000000"/>
        </w:rPr>
        <w:t xml:space="preserve"> attached hereto.</w:t>
      </w:r>
    </w:p>
    <w:p>
      <w:pPr>
        <w:pStyle w:val="Heading3"/>
        <w:numPr>
          <w:ilvl w:val="0"/>
          <w:numId w:val="0"/>
        </w:numPr>
        <w:ind w:firstLine="2160" w:start="0" w:end="0"/>
        <w:jc w:val="start"/>
        <w:rPr>
          <w:color w:val="000000"/>
          <w:w w:val="100"/>
        </w:rPr>
      </w:pPr>
      <w:bookmarkStart w:id="419" w:name="_DV_C132"/>
      <w:r>
        <w:rPr>
          <w:rStyle w:val="DeltaViewDeletion"/>
        </w:rPr>
        <w:t>(h)</w:t>
        <w:tab/>
      </w:r>
      <w:bookmarkStart w:id="420" w:name="_DV_C133"/>
      <w:bookmarkEnd w:id="419"/>
      <w:r>
        <w:rPr>
          <w:rStyle w:val="DeltaViewDeletion"/>
          <w:w w:val="100"/>
          <w:u w:val="single"/>
        </w:rPr>
        <w:t>Co-Marketing Agreement</w:t>
      </w:r>
      <w:r>
        <w:rPr>
          <w:rStyle w:val="DeltaViewDeletion"/>
          <w:w w:val="100"/>
        </w:rPr>
        <w:t>.  The Company shall have executed and delivered the Co-Marketing Agreement and the Warrant.</w:t>
      </w:r>
      <w:bookmarkStart w:id="421" w:name="_DV_C134"/>
      <w:bookmarkEnd w:id="420"/>
    </w:p>
    <w:p>
      <w:pPr>
        <w:pStyle w:val="Heading3"/>
        <w:rPr>
          <w:color w:val="000000"/>
          <w:w w:val="100"/>
        </w:rPr>
      </w:pPr>
      <w:bookmarkStart w:id="422" w:name="_DV_C135"/>
      <w:bookmarkEnd w:id="421"/>
      <w:r>
        <w:rPr>
          <w:rStyle w:val="DeltaViewDeletion"/>
          <w:w w:val="100"/>
        </w:rPr>
        <w:t xml:space="preserve">(i) </w:t>
      </w:r>
      <w:bookmarkStart w:id="423" w:name="_DV_M287"/>
      <w:bookmarkEnd w:id="422"/>
      <w:bookmarkEnd w:id="423"/>
      <w:r>
        <w:rPr>
          <w:color w:val="000000"/>
          <w:w w:val="100"/>
          <w:u w:val="single"/>
        </w:rPr>
        <w:t>Orders and Laws</w:t>
      </w:r>
      <w:r>
        <w:rPr>
          <w:color w:val="000000"/>
          <w:w w:val="100"/>
        </w:rPr>
        <w:t>.  There shall not be in effect on the Closing Date any order or law restraining, enjoining or otherwise prohibiting or making illegal the consummation of any of the transactions contemplated by this Agreement or any of the Related Agreements, or to the knowledge of the Company, any threatened, instituted or pending action or proceeding before any court or governmental entity, which could reasonably be expected to restrain, enjoin or otherwise prohibit or make illegal the consummation of any of the transactions contemplated by this Agreement or any of the Related Agreements, or result in a Material Adverse Effect.</w:t>
      </w:r>
      <w:bookmarkStart w:id="424" w:name="_DV_C136"/>
    </w:p>
    <w:p>
      <w:pPr>
        <w:pStyle w:val="Heading3"/>
        <w:rPr>
          <w:color w:val="000000"/>
          <w:w w:val="100"/>
        </w:rPr>
      </w:pPr>
      <w:bookmarkStart w:id="425" w:name="_DV_C137"/>
      <w:bookmarkEnd w:id="424"/>
      <w:r>
        <w:rPr>
          <w:rStyle w:val="DeltaViewDeletion"/>
          <w:w w:val="100"/>
        </w:rPr>
        <w:t xml:space="preserve">(j) </w:t>
      </w:r>
      <w:bookmarkStart w:id="426" w:name="_DV_M288"/>
      <w:bookmarkEnd w:id="425"/>
      <w:bookmarkEnd w:id="426"/>
      <w:r>
        <w:rPr>
          <w:color w:val="000000"/>
          <w:w w:val="100"/>
          <w:u w:val="single"/>
        </w:rPr>
        <w:t>Consents and Approvals</w:t>
      </w:r>
      <w:r>
        <w:rPr>
          <w:color w:val="000000"/>
          <w:w w:val="100"/>
        </w:rPr>
        <w:t>.</w:t>
      </w:r>
      <w:bookmarkStart w:id="427" w:name="_DV_M289"/>
      <w:bookmarkEnd w:id="427"/>
      <w:r>
        <w:rPr>
          <w:color w:val="000000"/>
          <w:w w:val="100"/>
        </w:rPr>
        <w:t xml:space="preserve">  All consents, approvals and actions of, filings with and notices to any person including any governmental entity necessary to permit the Company and the Investor to perform their obligations under this Agreement and the Related Agreements and to consummate the transactions contemplated hereby and thereby (a) shall have been duly obtained, made or given, (b) shall not be subject to the satisfaction of any condition that has not been satisfied or waived and (c) shall be in full force and effect, and all terminations or expirations of waiting periods imposed by any governmental entity necessary for the consummation of the transactions contemplated by this Agreement and the Related Agreements shall have occurred.</w:t>
      </w:r>
      <w:bookmarkStart w:id="428" w:name="_DV_C138"/>
    </w:p>
    <w:p>
      <w:pPr>
        <w:pStyle w:val="Heading3"/>
        <w:rPr>
          <w:color w:val="000000"/>
          <w:w w:val="100"/>
        </w:rPr>
      </w:pPr>
      <w:bookmarkStart w:id="429" w:name="_DV_C139"/>
      <w:bookmarkEnd w:id="428"/>
      <w:r>
        <w:rPr>
          <w:rStyle w:val="DeltaViewDeletion"/>
          <w:w w:val="100"/>
        </w:rPr>
        <w:t xml:space="preserve">(k) </w:t>
      </w:r>
      <w:bookmarkStart w:id="430" w:name="_DV_M290"/>
      <w:bookmarkEnd w:id="429"/>
      <w:bookmarkEnd w:id="430"/>
      <w:r>
        <w:rPr>
          <w:color w:val="000000"/>
          <w:w w:val="100"/>
          <w:u w:val="single"/>
        </w:rPr>
        <w:t>Compliance Certificates</w:t>
      </w:r>
      <w:r>
        <w:rPr>
          <w:color w:val="000000"/>
          <w:w w:val="100"/>
        </w:rPr>
        <w:t>.  The Company shall have delivered to the Investor a certificate, executed by the President of the Company, dated the Closing Date, certifying to the fulfillment of the conditions specified in Sections 4.1(a) and (b) of this Agreement.</w:t>
      </w:r>
      <w:bookmarkStart w:id="431" w:name="_DV_C140"/>
      <w:bookmarkStart w:id="432" w:name="_DV_M291"/>
      <w:bookmarkEnd w:id="432"/>
    </w:p>
    <w:p>
      <w:pPr>
        <w:pStyle w:val="Heading3"/>
        <w:rPr>
          <w:color w:val="000000"/>
          <w:w w:val="100"/>
        </w:rPr>
      </w:pPr>
      <w:bookmarkStart w:id="433" w:name="_DV_C141"/>
      <w:bookmarkEnd w:id="431"/>
      <w:r>
        <w:rPr>
          <w:rStyle w:val="DeltaViewDeletion"/>
          <w:w w:val="100"/>
        </w:rPr>
        <w:t xml:space="preserve">(l) </w:t>
      </w:r>
      <w:bookmarkStart w:id="434" w:name="_DV_M292"/>
      <w:bookmarkEnd w:id="433"/>
      <w:bookmarkEnd w:id="434"/>
      <w:r>
        <w:rPr>
          <w:color w:val="000000"/>
          <w:w w:val="100"/>
          <w:u w:val="single"/>
        </w:rPr>
        <w:t>Other Matters</w:t>
      </w:r>
      <w:r>
        <w:rPr>
          <w:color w:val="000000"/>
          <w:w w:val="100"/>
        </w:rPr>
        <w:t>.  All corporate and other proceedings in connection with the transactions contemplated by this Agreement and all documents and instruments incident to such transactions shall be reasonably satisfactory in substance and form to the Investor, and the Investor shall have received all such counterpart originals or certified or other copies of such documents as it may reasonably request.</w:t>
      </w:r>
      <w:bookmarkStart w:id="435" w:name="_DV_M293"/>
      <w:bookmarkEnd w:id="435"/>
    </w:p>
    <w:p>
      <w:pPr>
        <w:pStyle w:val="Heading2"/>
        <w:rPr>
          <w:vanish/>
          <w:color w:val="000000"/>
          <w:w w:val="100"/>
        </w:rPr>
      </w:pPr>
      <w:bookmarkStart w:id="436" w:name="_DV_M294"/>
      <w:bookmarkEnd w:id="436"/>
      <w:r>
        <w:rPr>
          <w:color w:val="000000"/>
          <w:w w:val="100"/>
        </w:rPr>
        <w:t>Conditions Precedent to Closing by the Company</w:t>
      </w:r>
      <w:r>
        <w:rPr>
          <w:color w:val="000000"/>
          <w:w w:val="100"/>
          <w:u w:val="none"/>
        </w:rPr>
        <w:t>.</w:t>
      </w:r>
    </w:p>
    <w:p>
      <w:pPr>
        <w:pStyle w:val="BodyText4"/>
        <w:rPr>
          <w:color w:val="000000"/>
          <w:w w:val="100"/>
        </w:rPr>
      </w:pPr>
      <w:bookmarkStart w:id="437" w:name="_DV_M295"/>
      <w:bookmarkEnd w:id="437"/>
      <w:r>
        <w:rPr>
          <w:color w:val="000000"/>
          <w:w w:val="100"/>
        </w:rPr>
        <w:t xml:space="preserve">  </w:t>
      </w:r>
      <w:r>
        <w:rPr>
          <w:color w:val="000000"/>
          <w:w w:val="100"/>
        </w:rPr>
        <w:t>The obligation of the Company to sell and deliver the Shares is subject to satisfaction of the following conditions precedent at or before the Closing:</w:t>
      </w:r>
    </w:p>
    <w:p>
      <w:pPr>
        <w:pStyle w:val="Heading3"/>
        <w:rPr>
          <w:color w:val="000000"/>
          <w:w w:val="100"/>
        </w:rPr>
      </w:pPr>
      <w:bookmarkStart w:id="438" w:name="_DV_M296"/>
      <w:bookmarkEnd w:id="438"/>
      <w:r>
        <w:rPr>
          <w:color w:val="000000"/>
          <w:w w:val="100"/>
          <w:u w:val="single"/>
        </w:rPr>
        <w:t>Representations and Warranties Correct</w:t>
      </w:r>
      <w:r>
        <w:rPr>
          <w:color w:val="000000"/>
          <w:w w:val="100"/>
        </w:rPr>
        <w:t xml:space="preserve">.   </w:t>
      </w:r>
      <w:bookmarkStart w:id="439" w:name="_DV_M297"/>
      <w:bookmarkEnd w:id="439"/>
      <w:r>
        <w:rPr>
          <w:color w:val="000000"/>
          <w:w w:val="100"/>
        </w:rPr>
        <w:t>The representations and warranties made by the Investor in Section 3 shall be true and correct when made, and shall be true and correct at the time of the Closing, with the same force and effect as if they had been made at and as of the time of the Closing.</w:t>
      </w:r>
    </w:p>
    <w:p>
      <w:pPr>
        <w:pStyle w:val="Heading3"/>
        <w:rPr>
          <w:color w:val="000000"/>
          <w:w w:val="100"/>
        </w:rPr>
      </w:pPr>
      <w:bookmarkStart w:id="440" w:name="_DV_M298"/>
      <w:bookmarkEnd w:id="440"/>
      <w:r>
        <w:rPr>
          <w:color w:val="000000"/>
          <w:w w:val="100"/>
          <w:u w:val="single"/>
        </w:rPr>
        <w:t>Registration Rights Agreement</w:t>
      </w:r>
      <w:r>
        <w:rPr>
          <w:color w:val="000000"/>
          <w:w w:val="100"/>
        </w:rPr>
        <w:t>.  The [Amended and Restated] Registration Rights Agreement, shall have been executed and delivered by the Investor and the number of holders of Common Stock party to such agreement required for such amendment.</w:t>
      </w:r>
    </w:p>
    <w:p>
      <w:pPr>
        <w:pStyle w:val="Heading3"/>
        <w:rPr>
          <w:color w:val="000000"/>
          <w:w w:val="100"/>
        </w:rPr>
      </w:pPr>
      <w:bookmarkStart w:id="441" w:name="_DV_M299"/>
      <w:bookmarkEnd w:id="441"/>
      <w:r>
        <w:rPr>
          <w:color w:val="000000"/>
          <w:w w:val="100"/>
          <w:u w:val="single"/>
        </w:rPr>
        <w:t>Stockholders Agreement</w:t>
      </w:r>
      <w:r>
        <w:rPr>
          <w:color w:val="000000"/>
          <w:w w:val="100"/>
        </w:rPr>
        <w:t>.  The Investor shall have executed the Stockholders’ Agreement.</w:t>
      </w:r>
    </w:p>
    <w:p>
      <w:pPr>
        <w:pStyle w:val="Heading3"/>
        <w:rPr>
          <w:color w:val="000000"/>
          <w:w w:val="100"/>
        </w:rPr>
      </w:pPr>
      <w:bookmarkStart w:id="442" w:name="_DV_M300"/>
      <w:bookmarkEnd w:id="442"/>
      <w:r>
        <w:rPr>
          <w:color w:val="000000"/>
          <w:w w:val="100"/>
          <w:u w:val="single"/>
        </w:rPr>
        <w:t>Payment</w:t>
      </w:r>
      <w:r>
        <w:rPr>
          <w:color w:val="000000"/>
          <w:w w:val="100"/>
        </w:rPr>
        <w:t xml:space="preserve">.  As consideration for the Shares, the Investor shall have delivered to the Company </w:t>
      </w:r>
      <w:bookmarkStart w:id="443" w:name="_DV_C142"/>
      <w:r>
        <w:rPr>
          <w:rStyle w:val="DeltaViewDeletion"/>
          <w:w w:val="100"/>
        </w:rPr>
        <w:t xml:space="preserve">(i) $3,800 in cash and (ii) the Co-Marketing Agreement substantially in the form attached in </w:t>
      </w:r>
      <w:r>
        <w:rPr>
          <w:rStyle w:val="DeltaViewDeletion"/>
          <w:w w:val="100"/>
          <w:u w:val="single"/>
        </w:rPr>
        <w:t>Exhibit A</w:t>
      </w:r>
      <w:r>
        <w:rPr>
          <w:rStyle w:val="DeltaViewDeletion"/>
          <w:w w:val="100"/>
        </w:rPr>
        <w:t xml:space="preserve"> executed by the Investor</w:t>
      </w:r>
      <w:bookmarkStart w:id="444" w:name="_DV_C143"/>
      <w:bookmarkEnd w:id="443"/>
      <w:r>
        <w:rPr>
          <w:rStyle w:val="DeltaViewInsertion"/>
          <w:w w:val="100"/>
        </w:rPr>
        <w:t>the consideration described in Section 1.2 hereof</w:t>
      </w:r>
      <w:bookmarkStart w:id="445" w:name="_DV_M301"/>
      <w:bookmarkEnd w:id="444"/>
      <w:bookmarkEnd w:id="445"/>
      <w:r>
        <w:rPr>
          <w:color w:val="000000"/>
          <w:w w:val="100"/>
        </w:rPr>
        <w:t>.</w:t>
      </w:r>
    </w:p>
    <w:p>
      <w:pPr>
        <w:pStyle w:val="Heading1"/>
        <w:keepNext w:val="true"/>
        <w:jc w:val="both"/>
        <w:rPr>
          <w:color w:val="000000"/>
          <w:w w:val="100"/>
        </w:rPr>
      </w:pPr>
      <w:bookmarkStart w:id="446" w:name="_DV_M302"/>
      <w:bookmarkEnd w:id="446"/>
      <w:r>
        <w:rPr>
          <w:color w:val="000000"/>
          <w:w w:val="100"/>
        </w:rPr>
        <w:t>Covenants</w:t>
      </w:r>
      <w:r>
        <w:rPr>
          <w:color w:val="000000"/>
          <w:w w:val="100"/>
          <w:u w:val="none"/>
        </w:rPr>
        <w:t>.</w:t>
      </w:r>
    </w:p>
    <w:p>
      <w:pPr>
        <w:pStyle w:val="Heading2"/>
        <w:keepNext w:val="true"/>
        <w:rPr>
          <w:color w:val="000000"/>
          <w:w w:val="100"/>
        </w:rPr>
      </w:pPr>
      <w:bookmarkStart w:id="447" w:name="_DV_M303"/>
      <w:bookmarkEnd w:id="447"/>
      <w:r>
        <w:rPr>
          <w:color w:val="000000"/>
          <w:w w:val="100"/>
        </w:rPr>
        <w:t>Access to Records and Personnel</w:t>
      </w:r>
      <w:r>
        <w:rPr>
          <w:color w:val="000000"/>
          <w:w w:val="100"/>
          <w:u w:val="none"/>
        </w:rPr>
        <w:t>.</w:t>
      </w:r>
    </w:p>
    <w:p>
      <w:pPr>
        <w:pStyle w:val="BodyText4"/>
        <w:keepNext w:val="true"/>
        <w:rPr>
          <w:color w:val="000000"/>
          <w:w w:val="100"/>
        </w:rPr>
      </w:pPr>
      <w:bookmarkStart w:id="448" w:name="_DV_M304"/>
      <w:bookmarkEnd w:id="448"/>
      <w:r>
        <w:rPr>
          <w:color w:val="000000"/>
          <w:w w:val="100"/>
        </w:rPr>
        <w:t xml:space="preserve">  </w:t>
      </w:r>
      <w:r>
        <w:rPr>
          <w:color w:val="000000"/>
          <w:w w:val="100"/>
        </w:rPr>
        <w:t xml:space="preserve">The Company shall permit the Investor and such persons as it may designate, at the Investor’s expense, to visit and inspect any of the properties of the Company, examine its books, discuss the affairs, finances and accounts of the Company with its officers, employees and public accountants, all at reasonable times and upon reasonable notice. </w:t>
      </w:r>
    </w:p>
    <w:p>
      <w:pPr>
        <w:pStyle w:val="Heading2"/>
        <w:rPr>
          <w:vanish/>
          <w:color w:val="000000"/>
          <w:w w:val="100"/>
        </w:rPr>
      </w:pPr>
      <w:bookmarkStart w:id="449" w:name="_DV_M305"/>
      <w:bookmarkEnd w:id="449"/>
      <w:r>
        <w:rPr>
          <w:color w:val="000000"/>
          <w:w w:val="100"/>
        </w:rPr>
        <w:t>Financial Reports</w:t>
      </w:r>
      <w:r>
        <w:rPr>
          <w:color w:val="000000"/>
          <w:w w:val="100"/>
          <w:u w:val="none"/>
        </w:rPr>
        <w:t>.</w:t>
      </w:r>
    </w:p>
    <w:p>
      <w:pPr>
        <w:pStyle w:val="BodyText4"/>
        <w:rPr>
          <w:color w:val="000000"/>
          <w:w w:val="100"/>
        </w:rPr>
      </w:pPr>
      <w:bookmarkStart w:id="450" w:name="_DV_M306"/>
      <w:bookmarkEnd w:id="450"/>
      <w:r>
        <w:rPr>
          <w:color w:val="000000"/>
          <w:w w:val="100"/>
        </w:rPr>
        <w:t xml:space="preserve">  </w:t>
      </w:r>
      <w:r>
        <w:rPr>
          <w:color w:val="000000"/>
          <w:w w:val="100"/>
        </w:rPr>
        <w:t>The Company agrees to furnish the Investor with the following:</w:t>
      </w:r>
    </w:p>
    <w:p>
      <w:pPr>
        <w:pStyle w:val="Heading3"/>
        <w:rPr>
          <w:color w:val="000000"/>
          <w:w w:val="100"/>
        </w:rPr>
      </w:pPr>
      <w:bookmarkStart w:id="451" w:name="_DV_M307"/>
      <w:bookmarkEnd w:id="451"/>
      <w:r>
        <w:rPr>
          <w:color w:val="000000"/>
          <w:w w:val="100"/>
        </w:rPr>
        <w:t xml:space="preserve">Within </w:t>
      </w:r>
      <w:bookmarkStart w:id="452" w:name="_DV_C144"/>
      <w:r>
        <w:rPr>
          <w:rStyle w:val="DeltaViewDeletion"/>
          <w:w w:val="100"/>
        </w:rPr>
        <w:t>120</w:t>
      </w:r>
      <w:bookmarkStart w:id="453" w:name="_DV_C145"/>
      <w:bookmarkEnd w:id="452"/>
      <w:r>
        <w:rPr>
          <w:rStyle w:val="DeltaViewInsertion"/>
          <w:w w:val="100"/>
        </w:rPr>
        <w:t>90</w:t>
      </w:r>
      <w:bookmarkStart w:id="454" w:name="_DV_M308"/>
      <w:bookmarkEnd w:id="453"/>
      <w:bookmarkEnd w:id="454"/>
      <w:r>
        <w:rPr>
          <w:color w:val="000000"/>
          <w:w w:val="100"/>
        </w:rPr>
        <w:t xml:space="preserve"> days after the end of each fiscal year of the Company, an audited (consolidated) balance sheet of the Company (and its subsidiaries, if any), as of the end of such fiscal year and the related audited consolidated statements of income, stockholders’ equity and cash flows for the fiscal year then ended, prepared in accordance with generally accepted accounting principles and certified by a firm of independent certified public accountants selected by the Board of Directors of the Company;</w:t>
      </w:r>
    </w:p>
    <w:p>
      <w:pPr>
        <w:pStyle w:val="Heading3"/>
        <w:rPr>
          <w:color w:val="000000"/>
          <w:w w:val="100"/>
        </w:rPr>
      </w:pPr>
      <w:bookmarkStart w:id="455" w:name="_DV_M309"/>
      <w:bookmarkEnd w:id="455"/>
      <w:r>
        <w:rPr>
          <w:color w:val="000000"/>
          <w:w w:val="100"/>
        </w:rPr>
        <w:t xml:space="preserve">within </w:t>
      </w:r>
      <w:bookmarkStart w:id="456" w:name="_DV_C146"/>
      <w:r>
        <w:rPr>
          <w:rStyle w:val="DeltaViewDeletion"/>
          <w:w w:val="100"/>
        </w:rPr>
        <w:t>60</w:t>
      </w:r>
      <w:bookmarkStart w:id="457" w:name="_DV_C147"/>
      <w:bookmarkEnd w:id="456"/>
      <w:r>
        <w:rPr>
          <w:rStyle w:val="DeltaViewInsertion"/>
          <w:w w:val="100"/>
        </w:rPr>
        <w:t>45</w:t>
      </w:r>
      <w:bookmarkStart w:id="458" w:name="_DV_M310"/>
      <w:bookmarkEnd w:id="457"/>
      <w:bookmarkEnd w:id="458"/>
      <w:r>
        <w:rPr>
          <w:color w:val="000000"/>
          <w:w w:val="100"/>
        </w:rPr>
        <w:t xml:space="preserve"> days after the end of each fiscal quarter of the Company, an unaudited (consolidated) balance sheet of the Company (and its subsidiaries, if any), as of the end of such fiscal quarter and the related unaudited consolidated statements of income, stockholders’ equity and cash flows for the fiscal quarter then ended, prepared in accordance with generally accepted accounting principles and certified by the President or the Chief Financial Officer of the Company;</w:t>
      </w:r>
    </w:p>
    <w:p>
      <w:pPr>
        <w:pStyle w:val="Heading3"/>
        <w:rPr>
          <w:color w:val="000000"/>
          <w:w w:val="100"/>
        </w:rPr>
      </w:pPr>
      <w:bookmarkStart w:id="459" w:name="_DV_M311"/>
      <w:bookmarkEnd w:id="459"/>
      <w:r>
        <w:rPr>
          <w:color w:val="000000"/>
          <w:w w:val="100"/>
        </w:rPr>
        <w:t>no later than 20 days prior to the start of each fiscal year, (consolidated) capital and operating expense budgets, cash flow projections and income and loss projections for the Company (and its subsidiaries, if any) in respect of such fiscal year, all itemized in reasonable detail and prepared on a monthly basis, and, promptly after preparation, any revisions to any of the foregoing;</w:t>
      </w:r>
    </w:p>
    <w:p>
      <w:pPr>
        <w:pStyle w:val="Heading3"/>
        <w:rPr>
          <w:color w:val="000000"/>
          <w:w w:val="100"/>
        </w:rPr>
      </w:pPr>
      <w:bookmarkStart w:id="460" w:name="_DV_M312"/>
      <w:bookmarkEnd w:id="460"/>
      <w:r>
        <w:rPr>
          <w:color w:val="000000"/>
          <w:w w:val="100"/>
        </w:rPr>
        <w:t>promptly upon receipt thereof, any additional written reports, management letters or other written detailed information concerning significant aspects of the Company’s operations and financial affairs, in each case provided to the Company in final form by its independent certified public accountants (and not otherwise contained in other materials provided hereunder); and</w:t>
      </w:r>
    </w:p>
    <w:p>
      <w:pPr>
        <w:pStyle w:val="Heading3"/>
        <w:rPr>
          <w:color w:val="000000"/>
          <w:w w:val="100"/>
        </w:rPr>
      </w:pPr>
      <w:bookmarkStart w:id="461" w:name="_DV_M313"/>
      <w:bookmarkEnd w:id="461"/>
      <w:r>
        <w:rPr>
          <w:color w:val="000000"/>
          <w:w w:val="100"/>
        </w:rPr>
        <w:t>as soon as practicable after a request by the Investor, such information as it may reasonably require in order to effect timely and proper filing of any reports that the Investor is required to submit to any governmental authority or its affiliates in connection with the business of the Company.</w:t>
      </w:r>
    </w:p>
    <w:p>
      <w:pPr>
        <w:pStyle w:val="Heading2"/>
        <w:rPr>
          <w:vanish/>
          <w:color w:val="000000"/>
          <w:w w:val="100"/>
        </w:rPr>
      </w:pPr>
      <w:bookmarkStart w:id="462" w:name="_DV_M314"/>
      <w:bookmarkEnd w:id="462"/>
      <w:r>
        <w:rPr>
          <w:color w:val="000000"/>
          <w:w w:val="100"/>
        </w:rPr>
        <w:t>Limitations on Rights of the Investor Under Section 5</w:t>
      </w:r>
      <w:r>
        <w:rPr>
          <w:color w:val="000000"/>
          <w:w w:val="100"/>
          <w:u w:val="none"/>
        </w:rPr>
        <w:t>.</w:t>
      </w:r>
    </w:p>
    <w:p>
      <w:pPr>
        <w:pStyle w:val="BodyText4"/>
        <w:rPr>
          <w:color w:val="000000"/>
          <w:w w:val="100"/>
        </w:rPr>
      </w:pPr>
      <w:bookmarkStart w:id="463" w:name="_DV_M315"/>
      <w:bookmarkEnd w:id="463"/>
      <w:r>
        <w:rPr>
          <w:color w:val="000000"/>
          <w:w w:val="100"/>
        </w:rPr>
        <w:t xml:space="preserve">  </w:t>
      </w:r>
      <w:r>
        <w:rPr>
          <w:color w:val="000000"/>
          <w:w w:val="100"/>
        </w:rPr>
        <w:t xml:space="preserve">The foregoing provisions of Sections 5.1 and 5.2 to the contrary notwithstanding, the Investor shall not have any rights and the Company shall not have any obligations under such provisions upon the earlier of (i) such time as the Investor (including any of its Affiliates (as defined in the Stockholders’ Agreement)) shall own less than 50% of the number of shares of Common Stock being issued hereunder, subject to adjustment for stock splits, stock dividends, recapitalizations and similar events, and (ii) the closing of a public offering pursuant to an effective registration statement under the Securities Act covering the offer and sale of Common Stock for the account of the Company to the public.  </w:t>
      </w:r>
      <w:r>
        <w:rPr>
          <w:b/>
          <w:bCs/>
          <w:i/>
          <w:iCs/>
          <w:color w:val="000000"/>
          <w:w w:val="100"/>
        </w:rPr>
        <w:t>[IPO qualifications to come]</w:t>
      </w:r>
    </w:p>
    <w:p>
      <w:pPr>
        <w:pStyle w:val="Heading2"/>
        <w:rPr>
          <w:vanish/>
          <w:color w:val="000000"/>
          <w:w w:val="100"/>
        </w:rPr>
      </w:pPr>
      <w:bookmarkStart w:id="464" w:name="_DV_M316"/>
      <w:bookmarkEnd w:id="464"/>
      <w:r>
        <w:rPr>
          <w:color w:val="000000"/>
          <w:w w:val="100"/>
        </w:rPr>
        <w:t>Material Changes and Litigation</w:t>
      </w:r>
      <w:r>
        <w:rPr>
          <w:color w:val="000000"/>
          <w:w w:val="100"/>
          <w:u w:val="none"/>
        </w:rPr>
        <w:t>.</w:t>
      </w:r>
    </w:p>
    <w:p>
      <w:pPr>
        <w:pStyle w:val="BodyText4"/>
        <w:rPr>
          <w:color w:val="000000"/>
          <w:w w:val="100"/>
        </w:rPr>
      </w:pPr>
      <w:bookmarkStart w:id="465" w:name="_DV_M317"/>
      <w:bookmarkEnd w:id="465"/>
      <w:r>
        <w:rPr>
          <w:color w:val="000000"/>
          <w:w w:val="100"/>
        </w:rPr>
        <w:t xml:space="preserve">  </w:t>
      </w:r>
      <w:r>
        <w:rPr>
          <w:color w:val="000000"/>
          <w:w w:val="100"/>
        </w:rPr>
        <w:t>The Company shall promptly (but in any event within five business days following the occurrence) notify the Investor of the default by the Company under any material contract or agreement or any event that has had or in the Company’s good faith judgment, is likely to have a Material Adverse Effect, and of any litigation or governmental proceeding or investigation brought or, to the Company’s knowledge, threatened against the Company, or against any officer, director or key employee of the Company which, if adversely determined, would reasonably be expected to have a Material Adverse Effect.</w:t>
      </w:r>
    </w:p>
    <w:p>
      <w:pPr>
        <w:pStyle w:val="Heading2"/>
        <w:rPr>
          <w:vanish/>
          <w:color w:val="000000"/>
          <w:w w:val="100"/>
        </w:rPr>
      </w:pPr>
      <w:bookmarkStart w:id="466" w:name="_DV_M318"/>
      <w:bookmarkEnd w:id="466"/>
      <w:r>
        <w:rPr>
          <w:color w:val="000000"/>
          <w:w w:val="100"/>
        </w:rPr>
        <w:t>Related Agreements</w:t>
      </w:r>
      <w:r>
        <w:rPr>
          <w:color w:val="000000"/>
          <w:w w:val="100"/>
          <w:u w:val="none"/>
        </w:rPr>
        <w:t>.</w:t>
      </w:r>
      <w:bookmarkStart w:id="467" w:name="_DV_M319"/>
      <w:bookmarkEnd w:id="467"/>
    </w:p>
    <w:p>
      <w:pPr>
        <w:pStyle w:val="BodyText4"/>
        <w:rPr>
          <w:color w:val="000000"/>
          <w:w w:val="100"/>
        </w:rPr>
      </w:pPr>
      <w:bookmarkStart w:id="468" w:name="_DV_M320"/>
      <w:bookmarkEnd w:id="468"/>
      <w:r>
        <w:rPr>
          <w:color w:val="000000"/>
          <w:w w:val="100"/>
        </w:rPr>
        <w:t xml:space="preserve">  </w:t>
      </w:r>
      <w:r>
        <w:rPr>
          <w:color w:val="000000"/>
          <w:w w:val="100"/>
        </w:rPr>
        <w:t>The Company shall comply with the terms and provisions of, and shall satisfy all of its obligations under, the Related Agreements.</w:t>
      </w:r>
    </w:p>
    <w:p>
      <w:pPr>
        <w:pStyle w:val="Heading2"/>
        <w:rPr>
          <w:vanish/>
          <w:color w:val="000000"/>
          <w:w w:val="100"/>
        </w:rPr>
      </w:pPr>
      <w:bookmarkStart w:id="469" w:name="_DV_M321"/>
      <w:bookmarkEnd w:id="469"/>
      <w:r>
        <w:rPr>
          <w:color w:val="000000"/>
          <w:w w:val="100"/>
        </w:rPr>
        <w:t>No Integration</w:t>
      </w:r>
      <w:r>
        <w:rPr>
          <w:color w:val="000000"/>
          <w:w w:val="100"/>
          <w:u w:val="none"/>
        </w:rPr>
        <w:t>.</w:t>
      </w:r>
      <w:bookmarkStart w:id="470" w:name="_DV_M322"/>
      <w:bookmarkEnd w:id="470"/>
    </w:p>
    <w:p>
      <w:pPr>
        <w:pStyle w:val="BodyText4"/>
        <w:rPr/>
      </w:pPr>
      <w:bookmarkStart w:id="471" w:name="_DV_M323"/>
      <w:bookmarkEnd w:id="471"/>
      <w:r>
        <w:rPr>
          <w:color w:val="000000"/>
          <w:w w:val="100"/>
        </w:rPr>
        <w:t xml:space="preserve">  </w:t>
      </w:r>
      <w:r>
        <w:rPr>
          <w:color w:val="000000"/>
          <w:w w:val="100"/>
        </w:rPr>
        <w:t xml:space="preserve">The Company will not offer, sell or issue any securities within six months after the date hereof that would be integrated (within the meaning of Rule 502(a) under the Securities Act) with the offer and sale of Shares </w:t>
      </w:r>
      <w:bookmarkStart w:id="472" w:name="_DV_C148"/>
      <w:r>
        <w:rPr>
          <w:rStyle w:val="DeltaViewDeletion"/>
          <w:w w:val="100"/>
        </w:rPr>
        <w:t xml:space="preserve">and the Warrant </w:t>
      </w:r>
      <w:bookmarkStart w:id="473" w:name="_DV_M324"/>
      <w:bookmarkEnd w:id="472"/>
      <w:bookmarkEnd w:id="473"/>
      <w:r>
        <w:rPr>
          <w:color w:val="000000"/>
          <w:w w:val="100"/>
        </w:rPr>
        <w:t>in a manner that would cause the offer or sale of Shares</w:t>
      </w:r>
      <w:bookmarkStart w:id="474" w:name="_DV_C149"/>
      <w:r>
        <w:rPr>
          <w:rStyle w:val="DeltaViewDeletion"/>
          <w:w w:val="100"/>
        </w:rPr>
        <w:t xml:space="preserve"> and the Warrant</w:t>
      </w:r>
      <w:bookmarkStart w:id="475" w:name="_DV_M325"/>
      <w:bookmarkEnd w:id="474"/>
      <w:bookmarkEnd w:id="475"/>
      <w:r>
        <w:rPr>
          <w:color w:val="000000"/>
          <w:w w:val="100"/>
        </w:rPr>
        <w:t xml:space="preserve"> to no longer be exempt from registration under the Securities Act.</w:t>
      </w:r>
    </w:p>
    <w:p>
      <w:pPr>
        <w:pStyle w:val="Heading2"/>
        <w:rPr>
          <w:vanish/>
          <w:color w:val="000000"/>
          <w:w w:val="100"/>
        </w:rPr>
      </w:pPr>
      <w:bookmarkStart w:id="476" w:name="_DV_M326"/>
      <w:bookmarkEnd w:id="476"/>
      <w:r>
        <w:rPr>
          <w:color w:val="000000"/>
          <w:w w:val="100"/>
        </w:rPr>
        <w:t>Corporate Existence</w:t>
      </w:r>
      <w:r>
        <w:rPr>
          <w:color w:val="000000"/>
          <w:w w:val="100"/>
          <w:u w:val="none"/>
        </w:rPr>
        <w:t>.</w:t>
      </w:r>
      <w:bookmarkStart w:id="477" w:name="_DV_M327"/>
      <w:bookmarkEnd w:id="477"/>
    </w:p>
    <w:p>
      <w:pPr>
        <w:pStyle w:val="BodyText4"/>
        <w:rPr>
          <w:color w:val="000000"/>
          <w:w w:val="100"/>
        </w:rPr>
      </w:pPr>
      <w:bookmarkStart w:id="478" w:name="_DV_M328"/>
      <w:bookmarkEnd w:id="478"/>
      <w:r>
        <w:rPr>
          <w:color w:val="000000"/>
          <w:w w:val="100"/>
        </w:rPr>
        <w:t xml:space="preserve">  </w:t>
      </w:r>
      <w:r>
        <w:rPr>
          <w:color w:val="000000"/>
          <w:w w:val="100"/>
        </w:rPr>
        <w:t>The Company will maintain its corporate existence in full force and effect.</w:t>
      </w:r>
      <w:bookmarkStart w:id="479" w:name="_DV_M329"/>
      <w:bookmarkEnd w:id="479"/>
    </w:p>
    <w:p>
      <w:pPr>
        <w:pStyle w:val="Heading2"/>
        <w:rPr>
          <w:vanish/>
          <w:color w:val="000000"/>
          <w:w w:val="100"/>
        </w:rPr>
      </w:pPr>
      <w:bookmarkStart w:id="480" w:name="_DV_M330"/>
      <w:bookmarkEnd w:id="480"/>
      <w:r>
        <w:rPr>
          <w:color w:val="000000"/>
          <w:w w:val="100"/>
        </w:rPr>
        <w:t>Taxes</w:t>
      </w:r>
      <w:r>
        <w:rPr>
          <w:color w:val="000000"/>
          <w:w w:val="100"/>
          <w:u w:val="none"/>
        </w:rPr>
        <w:t>.</w:t>
      </w:r>
      <w:bookmarkStart w:id="481" w:name="_DV_M331"/>
      <w:bookmarkEnd w:id="481"/>
    </w:p>
    <w:p>
      <w:pPr>
        <w:pStyle w:val="BodyText4"/>
        <w:rPr>
          <w:color w:val="000000"/>
          <w:w w:val="100"/>
        </w:rPr>
      </w:pPr>
      <w:bookmarkStart w:id="482" w:name="_DV_M332"/>
      <w:bookmarkEnd w:id="482"/>
      <w:r>
        <w:rPr>
          <w:color w:val="000000"/>
          <w:w w:val="100"/>
        </w:rPr>
        <w:t xml:space="preserve">  </w:t>
      </w:r>
      <w:r>
        <w:rPr>
          <w:color w:val="000000"/>
          <w:w w:val="100"/>
        </w:rPr>
        <w:t xml:space="preserve">The Company will, and will cause each of its Subsidiaries to, timely pay and discharge, or cause to be timely paid and discharged, all taxes (including all employment and payroll taxes), assessments </w:t>
      </w:r>
      <w:bookmarkStart w:id="483" w:name="_DV_M333"/>
      <w:bookmarkEnd w:id="483"/>
      <w:r>
        <w:rPr>
          <w:color w:val="000000"/>
          <w:w w:val="100"/>
        </w:rPr>
        <w:t>and other governmental charges imposed upon them or any of their properties or in respect of their franchises or income; provided, however, that no such tax or charge need be paid if being contested in good faith by proceedings diligently conducted and if such reservation or other appropriate provisions, if any, as shall be required by general accepted accounting principles applicable to the Company or such Subsidiary shall have been made therefor.</w:t>
      </w:r>
    </w:p>
    <w:p>
      <w:pPr>
        <w:pStyle w:val="Heading2"/>
        <w:rPr>
          <w:vanish/>
          <w:color w:val="000000"/>
          <w:w w:val="100"/>
        </w:rPr>
      </w:pPr>
      <w:bookmarkStart w:id="484" w:name="_DV_M334"/>
      <w:bookmarkEnd w:id="484"/>
      <w:r>
        <w:rPr>
          <w:color w:val="000000"/>
          <w:w w:val="100"/>
        </w:rPr>
        <w:t>Compliance with Law</w:t>
      </w:r>
      <w:r>
        <w:rPr>
          <w:color w:val="000000"/>
          <w:w w:val="100"/>
          <w:u w:val="none"/>
        </w:rPr>
        <w:t>.</w:t>
      </w:r>
      <w:bookmarkStart w:id="485" w:name="_DV_M335"/>
      <w:bookmarkEnd w:id="485"/>
    </w:p>
    <w:p>
      <w:pPr>
        <w:pStyle w:val="BodyText4"/>
        <w:rPr>
          <w:color w:val="000000"/>
          <w:w w:val="100"/>
        </w:rPr>
      </w:pPr>
      <w:bookmarkStart w:id="486" w:name="_DV_M336"/>
      <w:bookmarkEnd w:id="486"/>
      <w:r>
        <w:rPr>
          <w:color w:val="000000"/>
          <w:w w:val="100"/>
        </w:rPr>
        <w:t xml:space="preserve">  </w:t>
      </w:r>
      <w:r>
        <w:rPr>
          <w:color w:val="000000"/>
          <w:w w:val="100"/>
        </w:rPr>
        <w:t xml:space="preserve">The Company will, and will cause each of its Subsidiaries to, comply with all applicable laws (whether federal, state or local and whether statutory, administrative or judicial or other) and with every applicable lawful governmental order (whether administrative </w:t>
      </w:r>
      <w:bookmarkStart w:id="487" w:name="_DV_M337"/>
      <w:bookmarkEnd w:id="487"/>
      <w:r>
        <w:rPr>
          <w:color w:val="000000"/>
          <w:w w:val="100"/>
        </w:rPr>
        <w:t>or judicial) for which the failure to comply would reasonably be expected to have a Material Adverse Effect.</w:t>
      </w:r>
    </w:p>
    <w:p>
      <w:pPr>
        <w:pStyle w:val="Heading2"/>
        <w:rPr>
          <w:rFonts w:ascii="Times New Roman Bold;Times New Roman" w:hAnsi="Times New Roman Bold;Times New Roman" w:cs="Times New Roman Bold;Times New Roman"/>
          <w:vanish/>
          <w:color w:val="000000"/>
          <w:w w:val="100"/>
        </w:rPr>
      </w:pPr>
      <w:bookmarkStart w:id="488" w:name="_DV_M338"/>
      <w:bookmarkEnd w:id="488"/>
      <w:r>
        <w:rPr>
          <w:color w:val="000000"/>
          <w:w w:val="100"/>
        </w:rPr>
        <w:t>Best Efforts; Further Assurances</w:t>
      </w:r>
      <w:r>
        <w:rPr>
          <w:color w:val="000000"/>
          <w:w w:val="100"/>
          <w:u w:val="none"/>
        </w:rPr>
        <w:t>.</w:t>
      </w:r>
      <w:bookmarkStart w:id="489" w:name="_DV_M339"/>
      <w:bookmarkEnd w:id="489"/>
    </w:p>
    <w:p>
      <w:pPr>
        <w:pStyle w:val="BodyText4"/>
        <w:rPr>
          <w:color w:val="000000"/>
          <w:w w:val="100"/>
        </w:rPr>
      </w:pPr>
      <w:bookmarkStart w:id="490" w:name="_DV_M340"/>
      <w:bookmarkEnd w:id="490"/>
      <w:r>
        <w:rPr>
          <w:color w:val="000000"/>
          <w:w w:val="100"/>
        </w:rPr>
        <w:t xml:space="preserve">  </w:t>
      </w:r>
      <w:r>
        <w:rPr>
          <w:color w:val="000000"/>
          <w:w w:val="100"/>
        </w:rPr>
        <w:t>Subject to the terms and conditions of this Agreement, the Company will use its best efforts to take, or cause to be taken, all actions and to do, or cause to be done, all things necessary or desirable under applicable laws and regulations to consummate the transactions contemplated hereby and by the Related Agreements.  The Company agrees to execute and deliver such other documents, certificates, agreements and other writings and to take such other actions as may be necessary or desirable in order to consummate or implement expeditiously the transactions contemplated hereby and by the Related Agreements.</w:t>
      </w:r>
      <w:bookmarkStart w:id="491" w:name="_DV_C150"/>
    </w:p>
    <w:p>
      <w:pPr>
        <w:pStyle w:val="Heading2"/>
        <w:rPr>
          <w:rFonts w:ascii="Times New Roman Bold;Times New Roman" w:hAnsi="Times New Roman Bold;Times New Roman" w:cs="Times New Roman Bold;Times New Roman"/>
          <w:vanish/>
          <w:color w:val="000000"/>
          <w:w w:val="100"/>
        </w:rPr>
      </w:pPr>
      <w:bookmarkStart w:id="492" w:name="_DV_C151"/>
      <w:bookmarkStart w:id="493" w:name="_DV_IPM4"/>
      <w:bookmarkEnd w:id="491"/>
      <w:bookmarkEnd w:id="493"/>
      <w:r>
        <w:rPr>
          <w:rStyle w:val="DeltaViewInsertion"/>
          <w:b w:val="false"/>
          <w:bCs w:val="false"/>
          <w:w w:val="100"/>
        </w:rPr>
        <w:t>Promotional Mailing; Market Statistics.</w:t>
      </w:r>
      <w:bookmarkEnd w:id="492"/>
    </w:p>
    <w:p>
      <w:pPr>
        <w:pStyle w:val="BodyText4"/>
        <w:rPr>
          <w:color w:val="000000"/>
          <w:w w:val="100"/>
        </w:rPr>
      </w:pPr>
      <w:bookmarkStart w:id="494" w:name="_DV_C152"/>
      <w:bookmarkStart w:id="495" w:name="_DV_IPM5"/>
      <w:bookmarkEnd w:id="495"/>
      <w:r>
        <w:rPr>
          <w:rStyle w:val="DeltaViewInsertion"/>
          <w:w w:val="100"/>
        </w:rPr>
        <w:t xml:space="preserve">  </w:t>
      </w:r>
      <w:r>
        <w:rPr>
          <w:rStyle w:val="DeltaViewInsertion"/>
          <w:w w:val="100"/>
        </w:rPr>
        <w:t xml:space="preserve">(a) Immediately following the Closing, the Investor and the Company shall issue a press release in the form attached hereto as Exhibit F announcing the future availability of a version of the Company’s risk management analysis and reporting software product for use by the Investor’s customers on the Investor’s Web Site.  </w:t>
      </w:r>
      <w:r>
        <w:rPr>
          <w:rStyle w:val="DeltaViewInsertion"/>
          <w:i/>
          <w:iCs/>
          <w:w w:val="100"/>
        </w:rPr>
        <w:t>[Note:  we are checking with out Public Relations Department to see if Enron prefers to issue joint or separate press releases.]</w:t>
      </w:r>
      <w:bookmarkEnd w:id="494"/>
    </w:p>
    <w:p>
      <w:pPr>
        <w:pStyle w:val="BodyText4"/>
        <w:rPr>
          <w:color w:val="000000"/>
          <w:w w:val="100"/>
        </w:rPr>
      </w:pPr>
      <w:r>
        <w:rPr>
          <w:color w:val="000000"/>
          <w:w w:val="100"/>
        </w:rPr>
      </w:r>
      <w:bookmarkStart w:id="496" w:name="_DV_IPM6"/>
      <w:bookmarkStart w:id="497" w:name="_DV_IPM6"/>
      <w:bookmarkEnd w:id="497"/>
    </w:p>
    <w:p>
      <w:pPr>
        <w:pStyle w:val="BodyText4"/>
        <w:ind w:firstLine="2160" w:end="0"/>
        <w:rPr>
          <w:color w:val="000000"/>
          <w:w w:val="100"/>
        </w:rPr>
      </w:pPr>
      <w:bookmarkStart w:id="498" w:name="_DV_C153"/>
      <w:bookmarkStart w:id="499" w:name="_DV_IPM7"/>
      <w:bookmarkEnd w:id="499"/>
      <w:r>
        <w:rPr>
          <w:rStyle w:val="DeltaViewInsertion"/>
          <w:w w:val="100"/>
        </w:rPr>
        <w:t>(b)</w:t>
        <w:tab/>
        <w:t xml:space="preserve">On or before March 31, 2001, the Investor shall send </w:t>
      </w:r>
      <w:r>
        <w:rPr>
          <w:rStyle w:val="DeltaViewInsertion"/>
          <w:i/>
          <w:iCs/>
          <w:w w:val="100"/>
        </w:rPr>
        <w:t>[specify delivery method]</w:t>
      </w:r>
      <w:r>
        <w:rPr>
          <w:rStyle w:val="DeltaViewInsertion"/>
          <w:w w:val="100"/>
        </w:rPr>
        <w:t xml:space="preserve"> to Investor’s customers who </w:t>
      </w:r>
      <w:r>
        <w:rPr>
          <w:rStyle w:val="DeltaViewInsertion"/>
          <w:i/>
          <w:iCs/>
          <w:w w:val="100"/>
        </w:rPr>
        <w:t>[describe customers to whom it will be sent]</w:t>
      </w:r>
      <w:r>
        <w:rPr>
          <w:rStyle w:val="DeltaViewInsertion"/>
          <w:w w:val="100"/>
        </w:rPr>
        <w:t xml:space="preserve"> (the “Recipient Customers”) promotional materials in the form attached as Exhibit F announcing the future availability of a version of the Company’s risk management analysis and reporting software product for use by the Investor’s customers on the Investor’s Web Site.  </w:t>
      </w:r>
      <w:r>
        <w:rPr>
          <w:rStyle w:val="DeltaViewInsertion"/>
          <w:i/>
          <w:iCs/>
          <w:w w:val="100"/>
        </w:rPr>
        <w:t>[Note:  we contemplate agreeing to the form of promotional materials prior to execution of the Stock Purchase Agreement; those materials will be directed to specific or a specified class of Enron customers by EnronOnline, and will promote the Kiodex application that is available on EnronOnline as an added feature of EnronOnline.]</w:t>
      </w:r>
      <w:bookmarkEnd w:id="498"/>
    </w:p>
    <w:p>
      <w:pPr>
        <w:pStyle w:val="BodyText4"/>
        <w:ind w:firstLine="2160" w:end="0"/>
        <w:rPr>
          <w:color w:val="000000"/>
          <w:w w:val="100"/>
        </w:rPr>
      </w:pPr>
      <w:r>
        <w:rPr>
          <w:color w:val="000000"/>
          <w:w w:val="100"/>
        </w:rPr>
      </w:r>
      <w:bookmarkStart w:id="500" w:name="_DV_IPM8"/>
      <w:bookmarkStart w:id="501" w:name="_DV_IPM8"/>
      <w:bookmarkEnd w:id="501"/>
    </w:p>
    <w:p>
      <w:pPr>
        <w:pStyle w:val="BodyText4"/>
        <w:ind w:firstLine="2160" w:end="0"/>
        <w:rPr>
          <w:color w:val="000000"/>
          <w:w w:val="100"/>
        </w:rPr>
      </w:pPr>
      <w:bookmarkStart w:id="502" w:name="_DV_C154"/>
      <w:bookmarkStart w:id="503" w:name="_DV_IPM9"/>
      <w:bookmarkEnd w:id="503"/>
      <w:r>
        <w:rPr>
          <w:rStyle w:val="DeltaViewInsertion"/>
          <w:w w:val="100"/>
        </w:rPr>
        <w:t>(c)</w:t>
        <w:tab/>
        <w:t xml:space="preserve">On or before March 31, 2001, the Investor shall provide to the Company the statistical information described in Exhibit F regarding transactions conducted on the Investor’s Web Site.  </w:t>
      </w:r>
      <w:r>
        <w:rPr>
          <w:rStyle w:val="DeltaViewInsertion"/>
          <w:i/>
          <w:iCs/>
          <w:w w:val="100"/>
        </w:rPr>
        <w:t>[Note:  Exhibit F will summarize the statistical information to be provided to Kiodex to assist Kiodex in the development of the Kiodex Application and that portion of the Kiodex Application to be provided on the Enron Web Site.  We expect to develop this list of information with the assistance of Kiodex.]</w:t>
      </w:r>
      <w:bookmarkEnd w:id="502"/>
    </w:p>
    <w:p>
      <w:pPr>
        <w:pStyle w:val="Heading1"/>
        <w:jc w:val="both"/>
        <w:rPr>
          <w:color w:val="000000"/>
          <w:w w:val="100"/>
        </w:rPr>
      </w:pPr>
      <w:bookmarkStart w:id="504" w:name="_DV_M341"/>
      <w:bookmarkEnd w:id="504"/>
      <w:r>
        <w:rPr>
          <w:color w:val="000000"/>
          <w:w w:val="100"/>
        </w:rPr>
        <w:t>Business Opportunities</w:t>
      </w:r>
      <w:r>
        <w:rPr>
          <w:color w:val="000000"/>
          <w:w w:val="100"/>
          <w:u w:val="none"/>
        </w:rPr>
        <w:t>.</w:t>
      </w:r>
      <w:bookmarkStart w:id="505" w:name="_DV_C155"/>
    </w:p>
    <w:p>
      <w:pPr>
        <w:pStyle w:val="Heading3"/>
        <w:rPr>
          <w:color w:val="000000"/>
          <w:w w:val="100"/>
        </w:rPr>
      </w:pPr>
      <w:bookmarkStart w:id="506" w:name="_DV_C156"/>
      <w:bookmarkEnd w:id="505"/>
      <w:r>
        <w:rPr>
          <w:rStyle w:val="DeltaViewDeletion"/>
          <w:w w:val="100"/>
        </w:rPr>
        <w:t>(a) </w:t>
      </w:r>
      <w:bookmarkStart w:id="507" w:name="_DV_M342"/>
      <w:bookmarkEnd w:id="506"/>
      <w:bookmarkEnd w:id="507"/>
      <w:r>
        <w:rPr>
          <w:color w:val="000000"/>
          <w:w w:val="100"/>
        </w:rPr>
        <w:t>The Company acknowledges and agrees that the Investor and its Affiliates (as hereinafter defined), including any</w:t>
      </w:r>
      <w:bookmarkStart w:id="508" w:name="_DV_C157"/>
      <w:r>
        <w:rPr>
          <w:rStyle w:val="DeltaViewInsertion"/>
          <w:w w:val="100"/>
        </w:rPr>
        <w:t xml:space="preserve"> Investor Representative (as defined in the Stockholders’ Agreement) or</w:t>
      </w:r>
      <w:bookmarkStart w:id="509" w:name="_DV_M343"/>
      <w:bookmarkEnd w:id="508"/>
      <w:bookmarkEnd w:id="509"/>
      <w:r>
        <w:rPr>
          <w:color w:val="000000"/>
          <w:w w:val="100"/>
        </w:rPr>
        <w:t xml:space="preserve"> person(s) nominated by the Investor and serving as a member of the Board of Directors of the Company (the “</w:t>
      </w:r>
      <w:r>
        <w:rPr>
          <w:color w:val="000000"/>
          <w:w w:val="100"/>
          <w:u w:val="single"/>
        </w:rPr>
        <w:t>Designated Director</w:t>
      </w:r>
      <w:r>
        <w:rPr>
          <w:color w:val="000000"/>
          <w:w w:val="100"/>
        </w:rPr>
        <w:t xml:space="preserve">”), participate and will continue to participate, directly and through Affiliates, in businesses in which the Company participates or may participate, may have interests in, participate with, and maintain seats on the boards of directors of or serve as officers or employees of other Persons (as hereinafter defined) engaged in such businesses and may develop business opportunities for the Investor and its Affiliates and such other Persons.  The Company (i) acknowledges and agrees that the Affected Persons (as hereinafter defined) shall not be restricted or prohibited by the relationship between the Investor and the Company, the Designated Director </w:t>
      </w:r>
      <w:bookmarkStart w:id="510" w:name="_DV_C158"/>
      <w:r>
        <w:rPr>
          <w:rStyle w:val="DeltaViewInsertion"/>
          <w:w w:val="100"/>
        </w:rPr>
        <w:t xml:space="preserve">or any Investor Representative </w:t>
      </w:r>
      <w:bookmarkStart w:id="511" w:name="_DV_M344"/>
      <w:bookmarkEnd w:id="510"/>
      <w:bookmarkEnd w:id="511"/>
      <w:r>
        <w:rPr>
          <w:color w:val="000000"/>
          <w:w w:val="100"/>
        </w:rPr>
        <w:t>and the Company, or otherwise, from engaging in any business or business activity, regardless of whether such business or business activity is in direct or indirect competition with the business or activities of the Company and its Affiliates, on any basis other than actions that are inconsistent with the standards set forth in paragraph (b) hereof, (ii) acknowledges and agrees that, as long as their activities are conducted in accordance with the standards set forth in paragraph (b) hereof, the Affected Persons shall not have any obligation to offer the Company or any of its Affiliates any business opportunity, (iii) renounces any interest or expectancy in any business opportunity pursued by any Affected Person in accordance with the standards set forth in paragraph (b) hereof and (iv) waives any claim that any business opportunity pursued by any Affected Person constitutes a corporate opportunity of the Company or any of its Affiliates that should have been presented to the Company, unless such business opportunity was pursued in violation of the standards set forth in paragraph (b) hereof.</w:t>
      </w:r>
      <w:bookmarkStart w:id="512" w:name="_DV_C159"/>
    </w:p>
    <w:p>
      <w:pPr>
        <w:pStyle w:val="Heading3"/>
        <w:rPr>
          <w:color w:val="000000"/>
          <w:w w:val="100"/>
        </w:rPr>
      </w:pPr>
      <w:bookmarkStart w:id="513" w:name="_DV_C160"/>
      <w:bookmarkEnd w:id="512"/>
      <w:r>
        <w:rPr>
          <w:rStyle w:val="DeltaViewDeletion"/>
          <w:w w:val="100"/>
        </w:rPr>
        <w:t>(b)</w:t>
        <w:tab/>
      </w:r>
      <w:bookmarkStart w:id="514" w:name="_DV_M345"/>
      <w:bookmarkEnd w:id="513"/>
      <w:bookmarkEnd w:id="514"/>
      <w:r>
        <w:rPr>
          <w:color w:val="000000"/>
          <w:w w:val="100"/>
        </w:rPr>
        <w:t xml:space="preserve">The Investor, any Affiliate of the Investor, any </w:t>
      </w:r>
      <w:bookmarkStart w:id="515" w:name="_DV_C161"/>
      <w:r>
        <w:rPr>
          <w:rStyle w:val="DeltaViewInsertion"/>
          <w:w w:val="100"/>
        </w:rPr>
        <w:t xml:space="preserve">Investor Representative, any </w:t>
      </w:r>
      <w:bookmarkStart w:id="516" w:name="_DV_M346"/>
      <w:bookmarkEnd w:id="515"/>
      <w:bookmarkEnd w:id="516"/>
      <w:r>
        <w:rPr>
          <w:color w:val="000000"/>
          <w:w w:val="100"/>
        </w:rPr>
        <w:t xml:space="preserve">Designated Director or any other Person in which the Investor has an interest or of which a Designated Director </w:t>
      </w:r>
      <w:bookmarkStart w:id="517" w:name="_DV_C162"/>
      <w:r>
        <w:rPr>
          <w:rStyle w:val="DeltaViewInsertion"/>
          <w:w w:val="100"/>
        </w:rPr>
        <w:t xml:space="preserve">or Investor Representative </w:t>
      </w:r>
      <w:bookmarkStart w:id="518" w:name="_DV_M347"/>
      <w:bookmarkEnd w:id="517"/>
      <w:bookmarkEnd w:id="518"/>
      <w:r>
        <w:rPr>
          <w:color w:val="000000"/>
          <w:w w:val="100"/>
        </w:rPr>
        <w:t>is a director, officer or employee (collectively, the “</w:t>
      </w:r>
      <w:r>
        <w:rPr>
          <w:color w:val="000000"/>
          <w:w w:val="100"/>
          <w:u w:val="single"/>
        </w:rPr>
        <w:t>Affected Persons</w:t>
      </w:r>
      <w:r>
        <w:rPr>
          <w:color w:val="000000"/>
          <w:w w:val="100"/>
        </w:rPr>
        <w:t xml:space="preserve">”) shall be deemed to meet the standards set forth in this Section 6 if its business is conducted through the use of its own personnel and assets and not with the use of any personnel or assets of the Company including any information or Intellectual Property </w:t>
      </w:r>
      <w:bookmarkStart w:id="519" w:name="_DV_C163"/>
      <w:r>
        <w:rPr>
          <w:rStyle w:val="DeltaViewDeletion"/>
          <w:w w:val="100"/>
        </w:rPr>
        <w:t>owed</w:t>
      </w:r>
      <w:bookmarkStart w:id="520" w:name="_DV_C164"/>
      <w:bookmarkEnd w:id="519"/>
      <w:r>
        <w:rPr>
          <w:rStyle w:val="DeltaViewInsertion"/>
          <w:w w:val="100"/>
        </w:rPr>
        <w:t>owned</w:t>
      </w:r>
      <w:bookmarkStart w:id="521" w:name="_DV_M348"/>
      <w:bookmarkEnd w:id="520"/>
      <w:bookmarkEnd w:id="521"/>
      <w:r>
        <w:rPr>
          <w:color w:val="000000"/>
          <w:w w:val="100"/>
        </w:rPr>
        <w:t xml:space="preserve"> by the Company.  Without limiting the foregoing, such standards will be met with respect to a business opportunity only if (i) it is identified by or presented to personnel of an Affected Person and developed and pursued solely through the use of their personnel and assets (and not based on confidential information disclosed by or on behalf of the Company in or during the course of a Designated Director’s relationship with the Company)</w:t>
      </w:r>
      <w:bookmarkStart w:id="522" w:name="_DV_C165"/>
      <w:r>
        <w:rPr>
          <w:rStyle w:val="DeltaViewDeletion"/>
          <w:w w:val="100"/>
        </w:rPr>
        <w:t>,</w:t>
      </w:r>
      <w:bookmarkStart w:id="523" w:name="_DV_M349"/>
      <w:bookmarkEnd w:id="522"/>
      <w:bookmarkEnd w:id="523"/>
      <w:r>
        <w:rPr>
          <w:color w:val="000000"/>
          <w:w w:val="100"/>
        </w:rPr>
        <w:t xml:space="preserve"> and (ii) it did not come to the attention of a Designated Director </w:t>
      </w:r>
      <w:bookmarkStart w:id="524" w:name="_DV_C166"/>
      <w:r>
        <w:rPr>
          <w:rStyle w:val="DeltaViewInsertion"/>
          <w:w w:val="100"/>
        </w:rPr>
        <w:t xml:space="preserve">(or Investor Representative) </w:t>
      </w:r>
      <w:bookmarkStart w:id="525" w:name="_DV_M350"/>
      <w:bookmarkEnd w:id="524"/>
      <w:bookmarkEnd w:id="525"/>
      <w:r>
        <w:rPr>
          <w:color w:val="000000"/>
          <w:w w:val="100"/>
        </w:rPr>
        <w:t>solely in, and as a direct result of, his or her capacity as a director</w:t>
      </w:r>
      <w:bookmarkStart w:id="526" w:name="_DV_C167"/>
      <w:r>
        <w:rPr>
          <w:rStyle w:val="DeltaViewInsertion"/>
          <w:w w:val="100"/>
        </w:rPr>
        <w:t xml:space="preserve"> (or absence of the Board of Directors)</w:t>
      </w:r>
      <w:bookmarkStart w:id="527" w:name="_DV_M351"/>
      <w:bookmarkEnd w:id="526"/>
      <w:bookmarkEnd w:id="527"/>
      <w:r>
        <w:rPr>
          <w:color w:val="000000"/>
          <w:w w:val="100"/>
        </w:rPr>
        <w:t xml:space="preserve"> of the Company, provided that (x) if such opportunity is separately identified by an Affected Person or separately presented to an Affected Person by a Person other than a Designated Director</w:t>
      </w:r>
      <w:bookmarkStart w:id="528" w:name="_DV_C168"/>
      <w:r>
        <w:rPr>
          <w:rStyle w:val="DeltaViewInsertion"/>
          <w:w w:val="100"/>
        </w:rPr>
        <w:t xml:space="preserve"> (or Investor Representative)</w:t>
      </w:r>
      <w:bookmarkStart w:id="529" w:name="_DV_M352"/>
      <w:bookmarkEnd w:id="528"/>
      <w:bookmarkEnd w:id="529"/>
      <w:r>
        <w:rPr>
          <w:color w:val="000000"/>
          <w:w w:val="100"/>
        </w:rPr>
        <w:t>, such Affected Person shall be free to pursue such opportunity even if it also came to the Designated Director’s</w:t>
      </w:r>
      <w:bookmarkStart w:id="530" w:name="_DV_C169"/>
      <w:r>
        <w:rPr>
          <w:rStyle w:val="DeltaViewInsertion"/>
          <w:w w:val="100"/>
        </w:rPr>
        <w:t xml:space="preserve"> (or Investor Representative’s)</w:t>
      </w:r>
      <w:bookmarkStart w:id="531" w:name="_DV_M353"/>
      <w:bookmarkEnd w:id="530"/>
      <w:bookmarkEnd w:id="531"/>
      <w:r>
        <w:rPr>
          <w:color w:val="000000"/>
          <w:w w:val="100"/>
        </w:rPr>
        <w:t xml:space="preserve"> attention primarily as a result of and in his or her capacity as a director </w:t>
      </w:r>
      <w:bookmarkStart w:id="532" w:name="_DV_C170"/>
      <w:r>
        <w:rPr>
          <w:rStyle w:val="DeltaViewInsertion"/>
          <w:w w:val="100"/>
        </w:rPr>
        <w:t xml:space="preserve">(or absence of the Board of Directors) </w:t>
      </w:r>
      <w:bookmarkStart w:id="533" w:name="_DV_M354"/>
      <w:bookmarkEnd w:id="532"/>
      <w:bookmarkEnd w:id="533"/>
      <w:r>
        <w:rPr>
          <w:color w:val="000000"/>
          <w:w w:val="100"/>
        </w:rPr>
        <w:t xml:space="preserve">of the Company and (y) if such opportunity is presented to or identified by a Designated Director </w:t>
      </w:r>
      <w:bookmarkStart w:id="534" w:name="_DV_C171"/>
      <w:r>
        <w:rPr>
          <w:rStyle w:val="DeltaViewInsertion"/>
          <w:w w:val="100"/>
        </w:rPr>
        <w:t xml:space="preserve">(or Investor Representative) </w:t>
      </w:r>
      <w:bookmarkStart w:id="535" w:name="_DV_M355"/>
      <w:bookmarkEnd w:id="534"/>
      <w:bookmarkEnd w:id="535"/>
      <w:r>
        <w:rPr>
          <w:color w:val="000000"/>
          <w:w w:val="100"/>
        </w:rPr>
        <w:t xml:space="preserve">other than solely as a result of and in his or her capacity as a director of the Company, an Affected Person shall be free to pursue such opportunity even if it also came to the Designated Director’s </w:t>
      </w:r>
      <w:bookmarkStart w:id="536" w:name="_DV_C172"/>
      <w:r>
        <w:rPr>
          <w:rStyle w:val="DeltaViewInsertion"/>
          <w:w w:val="100"/>
        </w:rPr>
        <w:t xml:space="preserve">(or Investor Representative’s) </w:t>
      </w:r>
      <w:bookmarkStart w:id="537" w:name="_DV_M356"/>
      <w:bookmarkEnd w:id="536"/>
      <w:bookmarkEnd w:id="537"/>
      <w:r>
        <w:rPr>
          <w:color w:val="000000"/>
          <w:w w:val="100"/>
        </w:rPr>
        <w:t>attention as a result of and in his or her capacity as a director</w:t>
      </w:r>
      <w:bookmarkStart w:id="538" w:name="_DV_C173"/>
      <w:r>
        <w:rPr>
          <w:rStyle w:val="DeltaViewInsertion"/>
          <w:w w:val="100"/>
        </w:rPr>
        <w:t xml:space="preserve"> (or absence of the Board of Directors)</w:t>
      </w:r>
      <w:bookmarkStart w:id="539" w:name="_DV_M357"/>
      <w:bookmarkEnd w:id="538"/>
      <w:bookmarkEnd w:id="539"/>
      <w:r>
        <w:rPr>
          <w:color w:val="000000"/>
          <w:w w:val="100"/>
        </w:rPr>
        <w:t xml:space="preserve"> of the Company.  Nothing in this Agreement will allow a Designated Director </w:t>
      </w:r>
      <w:bookmarkStart w:id="540" w:name="_DV_C174"/>
      <w:r>
        <w:rPr>
          <w:rStyle w:val="DeltaViewInsertion"/>
          <w:w w:val="100"/>
        </w:rPr>
        <w:t xml:space="preserve">(or Investor Representative) </w:t>
      </w:r>
      <w:bookmarkStart w:id="541" w:name="_DV_M358"/>
      <w:bookmarkEnd w:id="540"/>
      <w:bookmarkEnd w:id="541"/>
      <w:r>
        <w:rPr>
          <w:color w:val="000000"/>
          <w:w w:val="100"/>
        </w:rPr>
        <w:t>to pursue a business opportunity solely for his or her personal benefit (as opposed to for the benefit of an Affected Person).</w:t>
      </w:r>
      <w:bookmarkStart w:id="542" w:name="_DV_C175"/>
    </w:p>
    <w:p>
      <w:pPr>
        <w:pStyle w:val="Heading3"/>
        <w:rPr>
          <w:color w:val="000000"/>
          <w:w w:val="100"/>
        </w:rPr>
      </w:pPr>
      <w:bookmarkStart w:id="543" w:name="_DV_C176"/>
      <w:bookmarkEnd w:id="542"/>
      <w:r>
        <w:rPr>
          <w:rStyle w:val="DeltaViewDeletion"/>
          <w:w w:val="100"/>
        </w:rPr>
        <w:t>(c)</w:t>
        <w:tab/>
      </w:r>
      <w:bookmarkStart w:id="544" w:name="_DV_M359"/>
      <w:bookmarkEnd w:id="543"/>
      <w:bookmarkEnd w:id="544"/>
      <w:r>
        <w:rPr>
          <w:color w:val="000000"/>
          <w:w w:val="100"/>
        </w:rPr>
        <w:t>No termination of this Agreement will affect any obligation in this Agreement (including any renunciation of a business opportunity) relating to any activity that was conducted prior to the termination or relating to any business opportunity the pursuit of which was commenced prior to such termination.</w:t>
      </w:r>
    </w:p>
    <w:p>
      <w:pPr>
        <w:pStyle w:val="BodyText4"/>
        <w:ind w:firstLine="720" w:end="0"/>
        <w:rPr/>
      </w:pPr>
      <w:bookmarkStart w:id="545" w:name="_DV_M360"/>
      <w:bookmarkEnd w:id="545"/>
      <w:r>
        <w:rPr>
          <w:color w:val="000000"/>
          <w:w w:val="100"/>
        </w:rPr>
        <w:t>For purposes of this Section 6, (i) the term “</w:t>
      </w:r>
      <w:r>
        <w:rPr>
          <w:color w:val="000000"/>
          <w:w w:val="100"/>
          <w:u w:val="single"/>
        </w:rPr>
        <w:t>Affiliate</w:t>
      </w:r>
      <w:r>
        <w:rPr>
          <w:color w:val="000000"/>
          <w:w w:val="100"/>
        </w:rPr>
        <w:t>” shall have the meaning ascribed by Rule 12b-2 promulgated under the Securities Exchange Act of 1934, as amended, and (ii) the term “</w:t>
      </w:r>
      <w:r>
        <w:rPr>
          <w:color w:val="000000"/>
          <w:w w:val="100"/>
          <w:u w:val="single"/>
        </w:rPr>
        <w:t>Person</w:t>
      </w:r>
      <w:r>
        <w:rPr>
          <w:color w:val="000000"/>
          <w:w w:val="100"/>
        </w:rPr>
        <w:t>” shall mean an individual, firm, corporation, general or limited partnership, limited liability company, limited liability partnership, joint venture, trust, governmental authority or body, association, unincorporated organization or other entity.</w:t>
      </w:r>
      <w:bookmarkStart w:id="546" w:name="_DV_C177"/>
    </w:p>
    <w:p>
      <w:pPr>
        <w:pStyle w:val="Heading3"/>
        <w:rPr>
          <w:color w:val="000000"/>
          <w:w w:val="100"/>
        </w:rPr>
      </w:pPr>
      <w:bookmarkStart w:id="547" w:name="_DV_C178"/>
      <w:bookmarkEnd w:id="546"/>
      <w:r>
        <w:rPr>
          <w:rStyle w:val="DeltaViewDeletion"/>
          <w:w w:val="100"/>
        </w:rPr>
        <w:t>(d)</w:t>
        <w:tab/>
      </w:r>
      <w:bookmarkStart w:id="548" w:name="_DV_M361"/>
      <w:bookmarkEnd w:id="547"/>
      <w:bookmarkEnd w:id="548"/>
      <w:r>
        <w:rPr>
          <w:color w:val="000000"/>
          <w:w w:val="100"/>
        </w:rPr>
        <w:t>The Investor agrees that any Designated Director</w:t>
      </w:r>
      <w:bookmarkStart w:id="549" w:name="_DV_C179"/>
      <w:r>
        <w:rPr>
          <w:rStyle w:val="DeltaViewInsertion"/>
          <w:w w:val="100"/>
        </w:rPr>
        <w:t xml:space="preserve"> and any Investor Representative</w:t>
      </w:r>
      <w:bookmarkStart w:id="550" w:name="_DV_M362"/>
      <w:bookmarkEnd w:id="549"/>
      <w:bookmarkEnd w:id="550"/>
      <w:r>
        <w:rPr>
          <w:color w:val="000000"/>
          <w:w w:val="100"/>
        </w:rPr>
        <w:t xml:space="preserve"> is bound by Section 7.1 of this Agreement with respect to the Company’s confidential information.</w:t>
      </w:r>
    </w:p>
    <w:p>
      <w:pPr>
        <w:pStyle w:val="Heading1"/>
        <w:jc w:val="both"/>
        <w:rPr>
          <w:color w:val="000000"/>
          <w:w w:val="100"/>
        </w:rPr>
      </w:pPr>
      <w:bookmarkStart w:id="551" w:name="_DV_M363"/>
      <w:bookmarkEnd w:id="551"/>
      <w:r>
        <w:rPr>
          <w:color w:val="000000"/>
          <w:w w:val="100"/>
        </w:rPr>
        <w:t>Miscellaneous</w:t>
      </w:r>
      <w:r>
        <w:rPr>
          <w:color w:val="000000"/>
          <w:w w:val="100"/>
          <w:u w:val="none"/>
        </w:rPr>
        <w:t>.</w:t>
      </w:r>
    </w:p>
    <w:p>
      <w:pPr>
        <w:pStyle w:val="Heading2"/>
        <w:rPr>
          <w:vanish/>
          <w:color w:val="000000"/>
          <w:w w:val="100"/>
        </w:rPr>
      </w:pPr>
      <w:bookmarkStart w:id="552" w:name="_DV_M364"/>
      <w:bookmarkEnd w:id="552"/>
      <w:r>
        <w:rPr>
          <w:color w:val="000000"/>
          <w:w w:val="100"/>
        </w:rPr>
        <w:t>Confidentiality</w:t>
      </w:r>
      <w:r>
        <w:rPr>
          <w:color w:val="000000"/>
          <w:w w:val="100"/>
          <w:u w:val="none"/>
        </w:rPr>
        <w:t>.</w:t>
      </w:r>
    </w:p>
    <w:p>
      <w:pPr>
        <w:pStyle w:val="BodyText4"/>
        <w:rPr/>
      </w:pPr>
      <w:bookmarkStart w:id="553" w:name="_DV_M365"/>
      <w:bookmarkEnd w:id="553"/>
      <w:r>
        <w:rPr>
          <w:color w:val="000000"/>
          <w:w w:val="100"/>
        </w:rPr>
        <w:t xml:space="preserve">  </w:t>
      </w:r>
      <w:r>
        <w:rPr>
          <w:color w:val="000000"/>
          <w:w w:val="100"/>
        </w:rPr>
        <w:t>All information obtained by the Investor pursuant to or related to the execution of this Agreement and the Related Agreements, or pursuant to information rights granted hereunder, is confidential and the Investor shall (i) maintain the same in confidence; provided, that, the Investor may disclose the same on a confidential basis to its members, limited partners, officers, directors, employees, partners, attorneys, accountants</w:t>
      </w:r>
      <w:bookmarkStart w:id="554" w:name="_DV_C180"/>
      <w:r>
        <w:rPr>
          <w:rStyle w:val="DeltaViewDeletion"/>
          <w:w w:val="100"/>
        </w:rPr>
        <w:t xml:space="preserve"> and</w:t>
      </w:r>
      <w:bookmarkStart w:id="555" w:name="_DV_C181"/>
      <w:bookmarkEnd w:id="554"/>
      <w:r>
        <w:rPr>
          <w:rStyle w:val="DeltaViewInsertion"/>
          <w:w w:val="100"/>
        </w:rPr>
        <w:t>,</w:t>
      </w:r>
      <w:bookmarkStart w:id="556" w:name="_DV_M366"/>
      <w:bookmarkEnd w:id="555"/>
      <w:bookmarkEnd w:id="556"/>
      <w:r>
        <w:rPr>
          <w:color w:val="000000"/>
          <w:w w:val="100"/>
        </w:rPr>
        <w:t xml:space="preserve"> affiliates</w:t>
      </w:r>
      <w:bookmarkStart w:id="557" w:name="_DV_C182"/>
      <w:r>
        <w:rPr>
          <w:rStyle w:val="DeltaViewInsertion"/>
          <w:w w:val="100"/>
        </w:rPr>
        <w:t xml:space="preserve"> and contractors</w:t>
      </w:r>
      <w:bookmarkStart w:id="558" w:name="_DV_M367"/>
      <w:bookmarkEnd w:id="557"/>
      <w:bookmarkEnd w:id="558"/>
      <w:r>
        <w:rPr>
          <w:color w:val="000000"/>
          <w:w w:val="100"/>
        </w:rPr>
        <w:t xml:space="preserve"> (the “</w:t>
      </w:r>
      <w:r>
        <w:rPr>
          <w:color w:val="000000"/>
          <w:w w:val="100"/>
          <w:u w:val="single"/>
        </w:rPr>
        <w:t>Permitted Recipients</w:t>
      </w:r>
      <w:r>
        <w:rPr>
          <w:color w:val="000000"/>
          <w:w w:val="100"/>
        </w:rPr>
        <w:t>”) so long as the Permitted Recipients are bound to maintain such information</w:t>
      </w:r>
      <w:bookmarkStart w:id="559" w:name="_DV_C183"/>
      <w:r>
        <w:rPr>
          <w:rStyle w:val="DeltaViewInsertion"/>
          <w:w w:val="100"/>
        </w:rPr>
        <w:t xml:space="preserve"> as</w:t>
      </w:r>
      <w:bookmarkStart w:id="560" w:name="_DV_M368"/>
      <w:bookmarkEnd w:id="559"/>
      <w:bookmarkEnd w:id="560"/>
      <w:r>
        <w:rPr>
          <w:color w:val="000000"/>
          <w:w w:val="100"/>
        </w:rPr>
        <w:t xml:space="preserve"> confidential, and (ii) take all reasonable measures to prevent any Permitted Recipient from disclosing the same.  The Investor, however, shall not be required to maintain the confidentiality of those portions of the confidential information received by it that (i) become generally available to the public other than as a result of a disclosure by the Investor, (ii) were available to the Investor on a non-confidential basis prior to the disclosure of such information to the Investor pursuant to this Agreement or the other Related Agreements, provided that the source of such information was not known by the Investor to be bound by a confidentiality agreement with or other contractual, legal or fiduciary obligation of confidentiality to the Company with respect to such material (iii) become available to the Investor on a non-confidential basis from a source other than the Company or its agents, advisors or representatives, provided that the source of such information was not known by the Investor to be bound by a confidentiality agreement with or other contractual, legal or fiduciary obligation of confidentiality to the Company with respect to such material or (iv) if required by law or regulations, including applicable securities laws.  If the Investor is required by applicable law or regulation or by legal process to disclose any confidential information, then the Investor will give notice to the Company of such requirement in order to enable the Company to seek an appropriate protective order or other remedy, and consult with the Investor in respect of taking reasonable steps to resist or narrow the scope of such requirement or legal process.  In the event that such protective order or other remedy is not obtained, the Investor will disclose only that portion of the confidential information which is </w:t>
      </w:r>
      <w:bookmarkStart w:id="561" w:name="_DV_M369"/>
      <w:bookmarkEnd w:id="561"/>
      <w:r>
        <w:rPr>
          <w:color w:val="000000"/>
          <w:w w:val="100"/>
        </w:rPr>
        <w:t>legally required to be disclosed and will use commercially reasonable efforts to ensure that all confidential information will be accorded confidential treatment.</w:t>
      </w:r>
    </w:p>
    <w:p>
      <w:pPr>
        <w:pStyle w:val="Heading2"/>
        <w:rPr>
          <w:vanish/>
          <w:color w:val="000000"/>
          <w:w w:val="100"/>
        </w:rPr>
      </w:pPr>
      <w:bookmarkStart w:id="562" w:name="_DV_M370"/>
      <w:bookmarkEnd w:id="562"/>
      <w:r>
        <w:rPr>
          <w:color w:val="000000"/>
          <w:w w:val="100"/>
        </w:rPr>
        <w:t>Expenses</w:t>
      </w:r>
      <w:r>
        <w:rPr>
          <w:color w:val="000000"/>
          <w:w w:val="100"/>
          <w:u w:val="none"/>
        </w:rPr>
        <w:t>.</w:t>
      </w:r>
    </w:p>
    <w:p>
      <w:pPr>
        <w:pStyle w:val="BodyText4"/>
        <w:rPr>
          <w:color w:val="000000"/>
          <w:w w:val="100"/>
        </w:rPr>
      </w:pPr>
      <w:bookmarkStart w:id="563" w:name="_DV_M371"/>
      <w:bookmarkEnd w:id="563"/>
      <w:r>
        <w:rPr>
          <w:color w:val="000000"/>
          <w:w w:val="100"/>
        </w:rPr>
        <w:t xml:space="preserve">  </w:t>
      </w:r>
      <w:r>
        <w:rPr>
          <w:color w:val="000000"/>
          <w:w w:val="100"/>
        </w:rPr>
        <w:t>All costs and expenses, including, without limitation, fees and disbursements of counsel, financial advisors and accountants, incurred in connection with this Agreement and the Related Agreements and the transactions contemplated hereby and thereby shall be paid by the party incurring such costs and expenses whether or not the Closing shall have occurred.</w:t>
      </w:r>
    </w:p>
    <w:p>
      <w:pPr>
        <w:pStyle w:val="Heading2"/>
        <w:rPr>
          <w:vanish/>
          <w:color w:val="000000"/>
          <w:w w:val="100"/>
        </w:rPr>
      </w:pPr>
      <w:bookmarkStart w:id="564" w:name="_DV_M372"/>
      <w:bookmarkEnd w:id="564"/>
      <w:r>
        <w:rPr>
          <w:color w:val="000000"/>
          <w:w w:val="100"/>
        </w:rPr>
        <w:t>Survival of Representations and Warranties</w:t>
      </w:r>
      <w:r>
        <w:rPr>
          <w:color w:val="000000"/>
          <w:w w:val="100"/>
          <w:u w:val="none"/>
        </w:rPr>
        <w:t>.</w:t>
      </w:r>
    </w:p>
    <w:p>
      <w:pPr>
        <w:pStyle w:val="BodyText4"/>
        <w:rPr>
          <w:color w:val="000000"/>
          <w:w w:val="100"/>
        </w:rPr>
      </w:pPr>
      <w:bookmarkStart w:id="565" w:name="_DV_M373"/>
      <w:bookmarkEnd w:id="565"/>
      <w:r>
        <w:rPr>
          <w:color w:val="000000"/>
          <w:w w:val="100"/>
        </w:rPr>
        <w:t xml:space="preserve">  </w:t>
      </w:r>
      <w:r>
        <w:rPr>
          <w:color w:val="000000"/>
          <w:w w:val="100"/>
        </w:rPr>
        <w:t>The representations and warranties contained herein shall survive until the date that is six months following the Closing.  Either party may rely on such representations and warranties irrespective of any investigation made, or notice or knowledge held by, it or any other person.</w:t>
      </w:r>
    </w:p>
    <w:p>
      <w:pPr>
        <w:pStyle w:val="Heading2"/>
        <w:rPr>
          <w:vanish/>
          <w:color w:val="000000"/>
          <w:w w:val="100"/>
        </w:rPr>
      </w:pPr>
      <w:bookmarkStart w:id="566" w:name="_DV_M374"/>
      <w:bookmarkEnd w:id="566"/>
      <w:r>
        <w:rPr>
          <w:color w:val="000000"/>
          <w:w w:val="100"/>
        </w:rPr>
        <w:t>Entire Agreement; Effect on Prior Documents</w:t>
      </w:r>
      <w:r>
        <w:rPr>
          <w:color w:val="000000"/>
          <w:w w:val="100"/>
          <w:u w:val="none"/>
        </w:rPr>
        <w:t>.</w:t>
      </w:r>
    </w:p>
    <w:p>
      <w:pPr>
        <w:pStyle w:val="BodyText4"/>
        <w:rPr>
          <w:color w:val="000000"/>
          <w:w w:val="100"/>
        </w:rPr>
      </w:pPr>
      <w:bookmarkStart w:id="567" w:name="_DV_M375"/>
      <w:bookmarkEnd w:id="567"/>
      <w:r>
        <w:rPr>
          <w:color w:val="000000"/>
          <w:w w:val="100"/>
        </w:rPr>
        <w:t xml:space="preserve">  </w:t>
      </w:r>
      <w:r>
        <w:rPr>
          <w:color w:val="000000"/>
          <w:w w:val="100"/>
        </w:rPr>
        <w:t>This Agreement and the other documents referred to herein or delivered pursuant hereto contain the entire agreement among the parties with respect to the financing transactions contemplated hereby and supersede all prior negotiations, commitments, agreements and understandings among them with respect thereto</w:t>
      </w:r>
      <w:bookmarkStart w:id="568" w:name="_DV_C184"/>
      <w:r>
        <w:rPr>
          <w:rStyle w:val="DeltaViewDeletion"/>
          <w:w w:val="100"/>
        </w:rPr>
        <w:t>.</w:t>
      </w:r>
      <w:bookmarkStart w:id="569" w:name="_DV_C185"/>
      <w:bookmarkEnd w:id="568"/>
      <w:r>
        <w:rPr>
          <w:rStyle w:val="DeltaViewInsertion"/>
          <w:w w:val="100"/>
        </w:rPr>
        <w:t>, including the Letter of Intent between the Company and the Investor dated November 21, 2000 and the Confidentiality Agreement between the Company and the Investor dated _______________, 2000.</w:t>
      </w:r>
      <w:bookmarkEnd w:id="569"/>
    </w:p>
    <w:p>
      <w:pPr>
        <w:pStyle w:val="Heading2"/>
        <w:rPr>
          <w:vanish/>
          <w:color w:val="000000"/>
          <w:w w:val="100"/>
        </w:rPr>
      </w:pPr>
      <w:bookmarkStart w:id="570" w:name="_DV_M376"/>
      <w:bookmarkEnd w:id="570"/>
      <w:r>
        <w:rPr>
          <w:color w:val="000000"/>
          <w:w w:val="100"/>
        </w:rPr>
        <w:t>Notices</w:t>
      </w:r>
      <w:r>
        <w:rPr>
          <w:color w:val="000000"/>
          <w:w w:val="100"/>
          <w:u w:val="none"/>
        </w:rPr>
        <w:t>.</w:t>
      </w:r>
    </w:p>
    <w:p>
      <w:pPr>
        <w:pStyle w:val="BodyText4"/>
        <w:rPr>
          <w:color w:val="000000"/>
          <w:w w:val="100"/>
        </w:rPr>
      </w:pPr>
      <w:bookmarkStart w:id="571" w:name="_DV_M377"/>
      <w:bookmarkEnd w:id="571"/>
      <w:r>
        <w:rPr>
          <w:color w:val="000000"/>
          <w:w w:val="100"/>
        </w:rPr>
        <w:t xml:space="preserve">  </w:t>
      </w:r>
      <w:r>
        <w:rPr>
          <w:color w:val="000000"/>
          <w:w w:val="100"/>
        </w:rPr>
        <w:t>Any notice or communication given pursuant to this Agreement by any party to any other party shall be in writing and shall be sufficiently given if personally delivered, sent by facsimile or other means of electronic transmission (other than e-mail) or by overnight courier with a reputable tracking system (such as FedEx, UPS and Airborne) or sent by registered or certified mail, return receipt requested, postage prepaid, to the parties at the following addresses or to such other address as any party may hereafter designate to the others by like notice:</w:t>
      </w:r>
    </w:p>
    <w:p>
      <w:pPr>
        <w:pStyle w:val="List"/>
        <w:rPr>
          <w:color w:val="000000"/>
          <w:w w:val="100"/>
        </w:rPr>
      </w:pPr>
      <w:bookmarkStart w:id="572" w:name="_DV_M378"/>
      <w:bookmarkEnd w:id="572"/>
      <w:r>
        <w:rPr>
          <w:color w:val="000000"/>
          <w:w w:val="100"/>
        </w:rPr>
        <w:t>(i)</w:t>
        <w:tab/>
        <w:t>if to the Company, to:</w:t>
        <w:br/>
        <w:br/>
        <w:t>Kiodex, Inc.</w:t>
        <w:br/>
        <w:t>3 New York Plaza, 15th Floor</w:t>
        <w:br/>
        <w:t>New York, NY</w:t>
        <w:br/>
        <w:t>Attention:  General Counsel</w:t>
        <w:br/>
        <w:t>Facsimile:  646-437-3910</w:t>
      </w:r>
    </w:p>
    <w:p>
      <w:pPr>
        <w:pStyle w:val="List"/>
        <w:rPr>
          <w:color w:val="000000"/>
          <w:w w:val="100"/>
        </w:rPr>
      </w:pPr>
      <w:bookmarkStart w:id="573" w:name="_DV_M379"/>
      <w:bookmarkEnd w:id="573"/>
      <w:r>
        <w:rPr>
          <w:color w:val="000000"/>
          <w:w w:val="100"/>
        </w:rPr>
        <w:tab/>
        <w:t xml:space="preserve">with a copy to: </w:t>
        <w:br/>
        <w:br/>
        <w:t>John Kennedy, Esq.</w:t>
        <w:br/>
        <w:t>Morrison &amp; Foerster LLP</w:t>
        <w:br/>
        <w:t>1290 Avenue of the Americas</w:t>
        <w:br/>
        <w:t>New York, NY  10104</w:t>
        <w:br/>
        <w:t>Facsimile: (212) 468-7900</w:t>
      </w:r>
    </w:p>
    <w:p>
      <w:pPr>
        <w:pStyle w:val="List"/>
        <w:keepLines w:val="false"/>
        <w:spacing w:before="0" w:after="0"/>
        <w:rPr>
          <w:color w:val="000000"/>
          <w:w w:val="100"/>
        </w:rPr>
      </w:pPr>
      <w:bookmarkStart w:id="574" w:name="_DV_M380"/>
      <w:bookmarkEnd w:id="574"/>
      <w:r>
        <w:rPr>
          <w:color w:val="000000"/>
          <w:w w:val="100"/>
        </w:rPr>
        <w:t>(ii)</w:t>
        <w:tab/>
        <w:t xml:space="preserve">if to the Investor, to </w:t>
      </w:r>
      <w:bookmarkStart w:id="575" w:name="_DV_C186"/>
      <w:r>
        <w:rPr>
          <w:rStyle w:val="DeltaViewInsertion"/>
          <w:w w:val="100"/>
        </w:rPr>
        <w:t>:</w:t>
        <w:br/>
        <w:br/>
        <w:t>Enron Net Works LLC</w:t>
        <w:br/>
        <w:t>780 Third Avenue</w:t>
        <w:br/>
        <w:t>25th Floor</w:t>
      </w:r>
      <w:bookmarkEnd w:id="575"/>
    </w:p>
    <w:p>
      <w:pPr>
        <w:pStyle w:val="List"/>
        <w:keepLines w:val="false"/>
        <w:spacing w:before="0" w:after="0"/>
        <w:ind w:hanging="0" w:end="0"/>
        <w:rPr>
          <w:color w:val="000000"/>
          <w:w w:val="100"/>
        </w:rPr>
      </w:pPr>
      <w:bookmarkStart w:id="576" w:name="_DV_C187"/>
      <w:bookmarkStart w:id="577" w:name="_DV_IPM10"/>
      <w:bookmarkEnd w:id="577"/>
      <w:r>
        <w:rPr>
          <w:rStyle w:val="DeltaViewInsertion"/>
          <w:w w:val="100"/>
        </w:rPr>
        <w:t>New York, New York  10017</w:t>
        <w:br/>
        <w:t>Attn:  Jay Fitzgerald</w:t>
        <w:br/>
        <w:t>Telephone: (212) 702-3934</w:t>
        <w:br/>
        <w:t>Facsimile:  (212) 702-3950</w:t>
        <w:br/>
      </w:r>
      <w:bookmarkEnd w:id="576"/>
    </w:p>
    <w:p>
      <w:pPr>
        <w:pStyle w:val="List"/>
        <w:keepLines w:val="false"/>
        <w:spacing w:before="0" w:after="0"/>
        <w:ind w:hanging="0" w:end="0"/>
        <w:rPr>
          <w:color w:val="000000"/>
          <w:w w:val="100"/>
        </w:rPr>
      </w:pPr>
      <w:r>
        <w:rPr>
          <w:color w:val="000000"/>
          <w:w w:val="100"/>
        </w:rPr>
      </w:r>
      <w:bookmarkStart w:id="578" w:name="_DV_IPM11"/>
      <w:bookmarkStart w:id="579" w:name="_DV_IPM11"/>
      <w:bookmarkEnd w:id="579"/>
    </w:p>
    <w:p>
      <w:pPr>
        <w:pStyle w:val="List"/>
        <w:keepLines w:val="false"/>
        <w:spacing w:before="0" w:after="0"/>
        <w:ind w:hanging="0" w:end="0"/>
        <w:rPr>
          <w:color w:val="000000"/>
          <w:w w:val="100"/>
        </w:rPr>
      </w:pPr>
      <w:r>
        <w:rPr>
          <w:color w:val="000000"/>
          <w:w w:val="100"/>
        </w:rPr>
      </w:r>
      <w:bookmarkStart w:id="580" w:name="_DV_IPM12"/>
      <w:bookmarkStart w:id="581" w:name="_DV_IPM12"/>
      <w:bookmarkEnd w:id="581"/>
    </w:p>
    <w:p>
      <w:pPr>
        <w:pStyle w:val="List"/>
        <w:keepLines w:val="false"/>
        <w:spacing w:before="0" w:after="0"/>
        <w:ind w:hanging="0" w:end="0"/>
        <w:rPr>
          <w:color w:val="000000"/>
          <w:w w:val="100"/>
        </w:rPr>
      </w:pPr>
      <w:r>
        <w:rPr>
          <w:color w:val="000000"/>
          <w:w w:val="100"/>
        </w:rPr>
      </w:r>
      <w:bookmarkStart w:id="582" w:name="_DV_IPM13"/>
      <w:bookmarkStart w:id="583" w:name="_DV_IPM13"/>
      <w:bookmarkEnd w:id="583"/>
    </w:p>
    <w:p>
      <w:pPr>
        <w:pStyle w:val="List"/>
        <w:keepLines w:val="false"/>
        <w:spacing w:before="0" w:after="0"/>
        <w:ind w:hanging="0" w:end="0"/>
        <w:rPr>
          <w:color w:val="000000"/>
          <w:w w:val="100"/>
        </w:rPr>
      </w:pPr>
      <w:r>
        <w:rPr>
          <w:color w:val="000000"/>
          <w:w w:val="100"/>
        </w:rPr>
      </w:r>
      <w:bookmarkStart w:id="584" w:name="_DV_IPM14"/>
      <w:bookmarkStart w:id="585" w:name="_DV_IPM14"/>
      <w:bookmarkEnd w:id="585"/>
    </w:p>
    <w:p>
      <w:pPr>
        <w:pStyle w:val="List"/>
        <w:keepLines w:val="false"/>
        <w:spacing w:before="0" w:after="0"/>
        <w:ind w:hanging="0" w:end="0"/>
        <w:rPr>
          <w:color w:val="000000"/>
          <w:w w:val="100"/>
        </w:rPr>
      </w:pPr>
      <w:r>
        <w:rPr>
          <w:color w:val="000000"/>
          <w:w w:val="100"/>
        </w:rPr>
      </w:r>
      <w:bookmarkStart w:id="586" w:name="_DV_IPM15"/>
      <w:bookmarkStart w:id="587" w:name="_DV_IPM15"/>
      <w:bookmarkEnd w:id="587"/>
    </w:p>
    <w:p>
      <w:pPr>
        <w:pStyle w:val="List"/>
        <w:keepLines w:val="false"/>
        <w:spacing w:before="0" w:after="0"/>
        <w:ind w:hanging="0" w:end="0"/>
        <w:rPr>
          <w:color w:val="000000"/>
          <w:w w:val="100"/>
        </w:rPr>
      </w:pPr>
      <w:r>
        <w:rPr>
          <w:color w:val="000000"/>
          <w:w w:val="100"/>
        </w:rPr>
      </w:r>
      <w:bookmarkStart w:id="588" w:name="_DV_IPM16"/>
      <w:bookmarkStart w:id="589" w:name="_DV_IPM16"/>
      <w:bookmarkEnd w:id="589"/>
    </w:p>
    <w:p>
      <w:pPr>
        <w:pStyle w:val="List"/>
        <w:keepLines w:val="false"/>
        <w:spacing w:before="0" w:after="0"/>
        <w:ind w:hanging="0" w:end="0"/>
        <w:rPr/>
      </w:pPr>
      <w:bookmarkStart w:id="590" w:name="_DV_C188"/>
      <w:bookmarkStart w:id="591" w:name="_DV_IPM17"/>
      <w:bookmarkEnd w:id="591"/>
      <w:r>
        <w:rPr>
          <w:rStyle w:val="DeltaViewInsertion"/>
          <w:w w:val="100"/>
        </w:rPr>
        <w:t>with a copy to</w:t>
      </w:r>
      <w:bookmarkStart w:id="592" w:name="_DV_M381"/>
      <w:bookmarkEnd w:id="590"/>
      <w:bookmarkEnd w:id="592"/>
      <w:r>
        <w:rPr>
          <w:color w:val="000000"/>
          <w:w w:val="100"/>
        </w:rPr>
        <w:t>:</w:t>
        <w:br/>
        <w:br/>
        <w:t>Enron Net Works Investments LLC</w:t>
        <w:br/>
        <w:t>1400 Smith Street</w:t>
      </w:r>
    </w:p>
    <w:p>
      <w:pPr>
        <w:pStyle w:val="List"/>
        <w:keepNext w:val="true"/>
        <w:spacing w:before="0" w:after="0"/>
        <w:ind w:hanging="0" w:end="0"/>
        <w:rPr>
          <w:color w:val="000000"/>
          <w:w w:val="100"/>
        </w:rPr>
      </w:pPr>
      <w:bookmarkStart w:id="593" w:name="_DV_M382"/>
      <w:bookmarkEnd w:id="593"/>
      <w:r>
        <w:rPr>
          <w:color w:val="000000"/>
          <w:w w:val="100"/>
        </w:rPr>
        <w:t>Houston, Texas 77002-7361</w:t>
      </w:r>
    </w:p>
    <w:p>
      <w:pPr>
        <w:pStyle w:val="List"/>
        <w:keepNext w:val="true"/>
        <w:spacing w:before="0" w:after="0"/>
        <w:ind w:hanging="0" w:end="0"/>
        <w:rPr>
          <w:color w:val="000000"/>
          <w:w w:val="100"/>
        </w:rPr>
      </w:pPr>
      <w:bookmarkStart w:id="594" w:name="_DV_M383"/>
      <w:bookmarkEnd w:id="594"/>
      <w:r>
        <w:rPr>
          <w:color w:val="000000"/>
          <w:w w:val="100"/>
        </w:rPr>
        <w:t>Attn:  Compliance Department, Donna Lowry</w:t>
        <w:br/>
        <w:t>Telephone:  (713) 853-1939</w:t>
        <w:br/>
        <w:t>Facsimile:  (713) 646-4039</w:t>
      </w:r>
    </w:p>
    <w:p>
      <w:pPr>
        <w:pStyle w:val="BodyText3"/>
        <w:jc w:val="both"/>
        <w:rPr>
          <w:color w:val="000000"/>
          <w:w w:val="100"/>
        </w:rPr>
      </w:pPr>
      <w:bookmarkStart w:id="595" w:name="_DV_M384"/>
      <w:bookmarkEnd w:id="595"/>
      <w:r>
        <w:rPr>
          <w:color w:val="000000"/>
          <w:w w:val="100"/>
        </w:rPr>
        <w:t>Notices shall be deemed to have been given (i) when personally delivered, (ii) if mailed, on the earlier of (A) three days after the date on which deposited in the mails, and (B) the date on which received, or (iii) if sent by overnight courier or facsimile transmission, on the date on which received; provided, that notices of a change of address shall not be deemed given until the actual receipt thereof.  The provisions of this Section 6.5 shall not prohibit the giving of written notice in any other manner; any such written notice shall be deemed given only when actually received.</w:t>
      </w:r>
    </w:p>
    <w:p>
      <w:pPr>
        <w:pStyle w:val="Heading2"/>
        <w:rPr>
          <w:vanish/>
          <w:color w:val="000000"/>
          <w:w w:val="100"/>
        </w:rPr>
      </w:pPr>
      <w:bookmarkStart w:id="596" w:name="_DV_M385"/>
      <w:bookmarkEnd w:id="596"/>
      <w:r>
        <w:rPr>
          <w:color w:val="000000"/>
          <w:w w:val="100"/>
        </w:rPr>
        <w:t>Binding Effect</w:t>
      </w:r>
      <w:r>
        <w:rPr>
          <w:color w:val="000000"/>
          <w:w w:val="100"/>
          <w:u w:val="none"/>
        </w:rPr>
        <w:t>.</w:t>
      </w:r>
    </w:p>
    <w:p>
      <w:pPr>
        <w:pStyle w:val="BodyText4"/>
        <w:rPr>
          <w:color w:val="000000"/>
          <w:w w:val="100"/>
        </w:rPr>
      </w:pPr>
      <w:bookmarkStart w:id="597" w:name="_DV_M386"/>
      <w:bookmarkEnd w:id="597"/>
      <w:r>
        <w:rPr>
          <w:color w:val="000000"/>
          <w:w w:val="100"/>
        </w:rPr>
        <w:t xml:space="preserve">  </w:t>
      </w:r>
      <w:r>
        <w:rPr>
          <w:color w:val="000000"/>
          <w:w w:val="100"/>
        </w:rPr>
        <w:t>This Agreement shall be binding upon and shall inure to the benefit of the respective heirs, executors, administrators, legal representatives, successors and assigns of the parties hereto.</w:t>
      </w:r>
    </w:p>
    <w:p>
      <w:pPr>
        <w:pStyle w:val="Heading2"/>
        <w:rPr>
          <w:vanish/>
          <w:color w:val="000000"/>
          <w:w w:val="100"/>
        </w:rPr>
      </w:pPr>
      <w:bookmarkStart w:id="598" w:name="_DV_M387"/>
      <w:bookmarkEnd w:id="598"/>
      <w:r>
        <w:rPr>
          <w:color w:val="000000"/>
          <w:w w:val="100"/>
        </w:rPr>
        <w:t>Severability</w:t>
      </w:r>
      <w:r>
        <w:rPr>
          <w:color w:val="000000"/>
          <w:w w:val="100"/>
          <w:u w:val="none"/>
        </w:rPr>
        <w:t>.</w:t>
      </w:r>
    </w:p>
    <w:p>
      <w:pPr>
        <w:pStyle w:val="BodyText4"/>
        <w:rPr>
          <w:color w:val="000000"/>
          <w:w w:val="100"/>
        </w:rPr>
      </w:pPr>
      <w:bookmarkStart w:id="599" w:name="_DV_M388"/>
      <w:bookmarkEnd w:id="599"/>
      <w:r>
        <w:rPr>
          <w:color w:val="000000"/>
          <w:w w:val="100"/>
        </w:rPr>
        <w:t xml:space="preserve">  </w:t>
      </w:r>
      <w:r>
        <w:rPr>
          <w:color w:val="000000"/>
          <w:w w:val="100"/>
        </w:rPr>
        <w:t>If any one or more of the provisions contained in this Agreement, or any application thereof, shall be invalid, illegal or unenforceable in any respect, the validity, legality and enforceability of the remaining provisions contained herein and all other applications thereof shall not in any way be affected or impaired thereby.</w:t>
      </w:r>
    </w:p>
    <w:p>
      <w:pPr>
        <w:pStyle w:val="Heading2"/>
        <w:rPr>
          <w:vanish/>
          <w:color w:val="000000"/>
          <w:w w:val="100"/>
        </w:rPr>
      </w:pPr>
      <w:bookmarkStart w:id="600" w:name="_DV_M389"/>
      <w:bookmarkEnd w:id="600"/>
      <w:r>
        <w:rPr>
          <w:color w:val="000000"/>
          <w:w w:val="100"/>
        </w:rPr>
        <w:t>Amendments; Waivers</w:t>
      </w:r>
      <w:r>
        <w:rPr>
          <w:color w:val="000000"/>
          <w:w w:val="100"/>
          <w:u w:val="none"/>
        </w:rPr>
        <w:t>.</w:t>
      </w:r>
    </w:p>
    <w:p>
      <w:pPr>
        <w:pStyle w:val="BodyText4"/>
        <w:rPr/>
      </w:pPr>
      <w:bookmarkStart w:id="601" w:name="_DV_M390"/>
      <w:bookmarkEnd w:id="601"/>
      <w:r>
        <w:rPr>
          <w:color w:val="000000"/>
          <w:w w:val="100"/>
        </w:rPr>
        <w:t xml:space="preserve">   </w:t>
      </w:r>
      <w:r>
        <w:rPr>
          <w:color w:val="000000"/>
          <w:w w:val="100"/>
        </w:rPr>
        <w:t xml:space="preserve">This Agreement may be amended only by a written instrument executed by the Company and the Investor.  No </w:t>
      </w:r>
      <w:bookmarkStart w:id="602" w:name="_DV_C189"/>
      <w:r>
        <w:rPr>
          <w:rStyle w:val="DeltaViewDeletion"/>
          <w:w w:val="100"/>
        </w:rPr>
        <w:t xml:space="preserve">such </w:t>
      </w:r>
      <w:bookmarkStart w:id="603" w:name="_DV_M391"/>
      <w:bookmarkEnd w:id="602"/>
      <w:bookmarkEnd w:id="603"/>
      <w:r>
        <w:rPr>
          <w:color w:val="000000"/>
          <w:w w:val="100"/>
        </w:rPr>
        <w:t xml:space="preserve">waiver or consent shall be valid unless in writing.  No failure or delay by any party in exercising any right </w:t>
      </w:r>
      <w:bookmarkStart w:id="604" w:name="_DV_C190"/>
      <w:r>
        <w:rPr>
          <w:rStyle w:val="DeltaViewDeletion"/>
          <w:w w:val="100"/>
        </w:rPr>
        <w:t>and</w:t>
      </w:r>
      <w:bookmarkStart w:id="605" w:name="_DV_C191"/>
      <w:bookmarkEnd w:id="604"/>
      <w:r>
        <w:rPr>
          <w:rStyle w:val="DeltaViewInsertion"/>
          <w:w w:val="100"/>
        </w:rPr>
        <w:t>or</w:t>
      </w:r>
      <w:bookmarkStart w:id="606" w:name="_DV_M392"/>
      <w:bookmarkEnd w:id="605"/>
      <w:bookmarkEnd w:id="606"/>
      <w:r>
        <w:rPr>
          <w:color w:val="000000"/>
          <w:w w:val="100"/>
        </w:rPr>
        <w:t xml:space="preserve"> remedy shall operate as a waiver thereof, and a waiver of a particular right or remedy on one occasion shall not be deemed a waiver of any other right or remedy or a waiver on any subsequent occasion.  No course of dealing between the Company and the Investor shall operate as a waiver of any right or remedy by the Investor.</w:t>
      </w:r>
    </w:p>
    <w:p>
      <w:pPr>
        <w:pStyle w:val="Heading2"/>
        <w:rPr>
          <w:vanish/>
          <w:color w:val="000000"/>
          <w:w w:val="100"/>
        </w:rPr>
      </w:pPr>
      <w:bookmarkStart w:id="607" w:name="_DV_M393"/>
      <w:bookmarkEnd w:id="607"/>
      <w:r>
        <w:rPr>
          <w:color w:val="000000"/>
          <w:w w:val="100"/>
        </w:rPr>
        <w:t>Counterparts</w:t>
      </w:r>
      <w:r>
        <w:rPr>
          <w:color w:val="000000"/>
          <w:w w:val="100"/>
          <w:u w:val="none"/>
        </w:rPr>
        <w:t>.</w:t>
      </w:r>
    </w:p>
    <w:p>
      <w:pPr>
        <w:pStyle w:val="BodyText4"/>
        <w:rPr>
          <w:color w:val="000000"/>
          <w:w w:val="100"/>
        </w:rPr>
      </w:pPr>
      <w:bookmarkStart w:id="608" w:name="_DV_M394"/>
      <w:bookmarkEnd w:id="608"/>
      <w:r>
        <w:rPr>
          <w:color w:val="000000"/>
          <w:w w:val="100"/>
        </w:rPr>
        <w:t xml:space="preserve">  </w:t>
      </w:r>
      <w:r>
        <w:rPr>
          <w:color w:val="000000"/>
          <w:w w:val="100"/>
        </w:rPr>
        <w:t>This Agreement may be executed in any number of counterparts, each such counterpart shall be deemed to be an original instrument, and all such counterparts together shall constitute but one agreement.</w:t>
      </w:r>
    </w:p>
    <w:p>
      <w:pPr>
        <w:pStyle w:val="Heading2"/>
        <w:keepNext w:val="true"/>
        <w:keepLines/>
        <w:rPr>
          <w:color w:val="000000"/>
          <w:w w:val="100"/>
        </w:rPr>
      </w:pPr>
      <w:bookmarkStart w:id="609" w:name="_DV_M395"/>
      <w:bookmarkEnd w:id="609"/>
      <w:r>
        <w:rPr>
          <w:color w:val="000000"/>
          <w:w w:val="100"/>
        </w:rPr>
        <w:t>Governing Law</w:t>
      </w:r>
      <w:r>
        <w:rPr>
          <w:color w:val="000000"/>
          <w:w w:val="100"/>
          <w:u w:val="none"/>
        </w:rPr>
        <w:t>.</w:t>
      </w:r>
    </w:p>
    <w:p>
      <w:pPr>
        <w:pStyle w:val="Heading3"/>
        <w:keepNext w:val="true"/>
        <w:keepLines/>
        <w:tabs>
          <w:tab w:val="left" w:pos="360" w:leader="none"/>
        </w:tabs>
        <w:rPr>
          <w:color w:val="000000"/>
          <w:w w:val="100"/>
        </w:rPr>
      </w:pPr>
      <w:bookmarkStart w:id="610" w:name="_DV_M396"/>
      <w:bookmarkEnd w:id="610"/>
      <w:r>
        <w:rPr>
          <w:color w:val="000000"/>
          <w:w w:val="100"/>
        </w:rPr>
        <w:t>This Agreement shall be governed by and construed in accordance with the internal laws of the State of New York, without regard to conflict of laws principles thereof that would cause the application of the laws of a jurisdiction other than the State of New York.</w:t>
      </w:r>
    </w:p>
    <w:p>
      <w:pPr>
        <w:pStyle w:val="Heading3"/>
        <w:tabs>
          <w:tab w:val="left" w:pos="360" w:leader="none"/>
        </w:tabs>
        <w:rPr>
          <w:color w:val="000000"/>
          <w:w w:val="100"/>
        </w:rPr>
      </w:pPr>
      <w:bookmarkStart w:id="611" w:name="_DV_M397"/>
      <w:bookmarkEnd w:id="611"/>
      <w:r>
        <w:rPr>
          <w:color w:val="000000"/>
          <w:w w:val="100"/>
        </w:rPr>
        <w:t xml:space="preserve">Each party hereto hereby consents to the non-exclusive jurisdiction of the United States District Court for the Southern District of New York sitting in New York County or the Commercial Division, Civil Branch of the Supreme Court of the State of New York sitting in New York County and irrevocably agrees that all actions or proceedings relating to or arising out of this Agreement may be tried and litigated in such courts.  Each party hereto hereby waives to the extent not prohibited by applicable law, and agrees not to assert, by way of motion, as a defense or otherwise, in any such action, suit, or proceeding, any claim that it is not subject personally to the jurisdiction of the above-named courts, that it is immune from extraterritorial injunctive relief or other injunctive relief, that its property is exempt or immune from attachment or execution, that any such action, suit, or proceeding may not be brought or maintained in one of the above-named courts, that any such action, suit or proceeding brought or maintained in one of the above-named courts should be dismissed on the grounds of </w:t>
      </w:r>
      <w:r>
        <w:rPr>
          <w:color w:val="000000"/>
          <w:w w:val="100"/>
          <w:u w:val="single"/>
        </w:rPr>
        <w:t>forum non conveniens</w:t>
      </w:r>
      <w:r>
        <w:rPr>
          <w:color w:val="000000"/>
          <w:w w:val="100"/>
        </w:rPr>
        <w:t>, should be transferred to any court other than one of the above-named courts, or that this agreement or the subject matter hereof may not be enforced in or by any of the above-named courts.  Each of the parties hereto hereby consents to service of process in any such action, suit, or proceeding in any manner permitted by the laws of the State of New York, agrees that service of process by registered or certified mail, return receipt requested, to the persons and at the addresses set forth in Section 10 above, is reasonably calculated to give actual notice, and waives and agrees not to assert by way of motion, as a defense or otherwise, in any such action, suit or proceeding any claim that such service of process does not constitute good and sufficient service of process.</w:t>
      </w:r>
    </w:p>
    <w:p>
      <w:pPr>
        <w:pStyle w:val="Heading2"/>
        <w:tabs>
          <w:tab w:val="left" w:pos="360" w:leader="none"/>
        </w:tabs>
        <w:rPr>
          <w:vanish/>
          <w:color w:val="000000"/>
          <w:w w:val="100"/>
        </w:rPr>
      </w:pPr>
      <w:bookmarkStart w:id="612" w:name="_DV_M398"/>
      <w:bookmarkEnd w:id="612"/>
      <w:r>
        <w:rPr>
          <w:color w:val="000000"/>
          <w:w w:val="100"/>
        </w:rPr>
        <w:t>Rule 144A Information</w:t>
      </w:r>
      <w:r>
        <w:rPr>
          <w:color w:val="000000"/>
          <w:w w:val="100"/>
          <w:u w:val="none"/>
        </w:rPr>
        <w:t>.</w:t>
      </w:r>
    </w:p>
    <w:p>
      <w:pPr>
        <w:pStyle w:val="BodyText4"/>
        <w:spacing w:before="0" w:after="120"/>
        <w:rPr/>
      </w:pPr>
      <w:bookmarkStart w:id="613" w:name="_DV_M399"/>
      <w:bookmarkEnd w:id="613"/>
      <w:r>
        <w:rPr>
          <w:color w:val="000000"/>
          <w:w w:val="100"/>
        </w:rPr>
        <w:t xml:space="preserve">  </w:t>
      </w:r>
      <w:r>
        <w:rPr>
          <w:color w:val="000000"/>
          <w:w w:val="100"/>
        </w:rPr>
        <w:t>The Company shall, at all times during which it is neither subject to the reporting requirements of Section 13 or 15(d) of the Securities Exchange Act of 1934, as amended (the “</w:t>
      </w:r>
      <w:r>
        <w:rPr>
          <w:color w:val="000000"/>
          <w:w w:val="100"/>
          <w:u w:val="single"/>
        </w:rPr>
        <w:t>Exchange Act</w:t>
      </w:r>
      <w:r>
        <w:rPr>
          <w:color w:val="000000"/>
          <w:w w:val="100"/>
        </w:rPr>
        <w:t>”), nor exempt from reporting pursuant to Rule 12g3-2(b) under the Exchange Act, upon the written request of the Investor, provide in writing to the Investor and to any prospective transferee of any shares of Common Stock held by the Investor the information concerning the Company described in Rule 144A(d)(4) under the Securities Act (“</w:t>
      </w:r>
      <w:r>
        <w:rPr>
          <w:color w:val="000000"/>
          <w:w w:val="100"/>
          <w:u w:val="single"/>
        </w:rPr>
        <w:t>Rule 144A Information</w:t>
      </w:r>
      <w:r>
        <w:rPr>
          <w:color w:val="000000"/>
          <w:w w:val="100"/>
        </w:rPr>
        <w:t>”).  The Company also shall, upon the written request of the Investor, cooperate with and assist the Investor or any member of the National Association of Securities Dealers, Inc. PORTAL system in applying to designate and thereafter maintain the eligibility of the shares of Common Stock held by the Investor for trading through PORTAL.  The Company’s obligations under this Section 7.11 shall at all times be contingent upon receipt from the Investor of a statement that the prospective transferee has agree in writing to take all reasonable precautions to safeguard the Rule 144A Information from disclosure to anyone other than persons who will assist such transferee in evaluating the purchase of such shares.</w:t>
      </w:r>
    </w:p>
    <w:p>
      <w:pPr>
        <w:pStyle w:val="Heading2"/>
        <w:tabs>
          <w:tab w:val="left" w:pos="360" w:leader="none"/>
        </w:tabs>
        <w:rPr>
          <w:vanish/>
          <w:color w:val="000000"/>
          <w:w w:val="100"/>
        </w:rPr>
      </w:pPr>
      <w:bookmarkStart w:id="614" w:name="_DV_M400"/>
      <w:bookmarkEnd w:id="614"/>
      <w:r>
        <w:rPr>
          <w:color w:val="000000"/>
          <w:w w:val="100"/>
        </w:rPr>
        <w:t>Arbitration</w:t>
      </w:r>
      <w:r>
        <w:rPr>
          <w:color w:val="000000"/>
          <w:w w:val="100"/>
          <w:u w:val="none"/>
        </w:rPr>
        <w:t>.</w:t>
      </w:r>
    </w:p>
    <w:p>
      <w:pPr>
        <w:pStyle w:val="BodyText4"/>
        <w:spacing w:before="0" w:after="120"/>
        <w:rPr>
          <w:color w:val="000000"/>
          <w:w w:val="100"/>
        </w:rPr>
      </w:pPr>
      <w:bookmarkStart w:id="615" w:name="_DV_M401"/>
      <w:bookmarkEnd w:id="615"/>
      <w:r>
        <w:rPr>
          <w:color w:val="000000"/>
          <w:w w:val="100"/>
        </w:rPr>
        <w:t xml:space="preserve">  </w:t>
      </w:r>
      <w:r>
        <w:rPr>
          <w:color w:val="000000"/>
          <w:w w:val="100"/>
        </w:rPr>
        <w:t>If a dispute between the parties arises out of or in connection with this Agreement or any Related Agreement, then either party may refer such dispute to binding arbitration under the following provisions.</w:t>
      </w:r>
    </w:p>
    <w:p>
      <w:pPr>
        <w:pStyle w:val="Heading3"/>
        <w:rPr>
          <w:color w:val="000000"/>
          <w:w w:val="100"/>
        </w:rPr>
      </w:pPr>
      <w:bookmarkStart w:id="616" w:name="_DV_M402"/>
      <w:bookmarkEnd w:id="616"/>
      <w:r>
        <w:rPr>
          <w:color w:val="000000"/>
          <w:w w:val="100"/>
        </w:rPr>
        <w:t>Any and all claims, counterclaims, demands, causes of action, disputes, controversies, and other matters in question arising out of or relating to this Agreement or any Related Agreement, any provision hereof of thereof, the alleged breach hereof or thereof, or in any way relating to the subject matter of this Agreement or any Related Agreement or the relationship between the parties created by this Agreement or any Related Agreement, involving the parties and/or their respective representatives (all of which are referred to herein as “</w:t>
      </w:r>
      <w:r>
        <w:rPr>
          <w:color w:val="000000"/>
          <w:w w:val="100"/>
          <w:u w:val="single"/>
        </w:rPr>
        <w:t>Claims</w:t>
      </w:r>
      <w:r>
        <w:rPr>
          <w:color w:val="000000"/>
          <w:w w:val="100"/>
        </w:rPr>
        <w:t>”),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pursuant to this Agreement and the Federal Arbitration Act.</w:t>
      </w:r>
    </w:p>
    <w:p>
      <w:pPr>
        <w:pStyle w:val="Heading3"/>
        <w:rPr>
          <w:color w:val="000000"/>
          <w:w w:val="100"/>
        </w:rPr>
      </w:pPr>
      <w:bookmarkStart w:id="617" w:name="_DV_M403"/>
      <w:bookmarkEnd w:id="617"/>
      <w:r>
        <w:rPr>
          <w:color w:val="000000"/>
          <w:w w:val="100"/>
        </w:rPr>
        <w:t>A party that wishes to refer a Claim to arbitration (the “</w:t>
      </w:r>
      <w:r>
        <w:rPr>
          <w:color w:val="000000"/>
          <w:w w:val="100"/>
          <w:u w:val="single"/>
        </w:rPr>
        <w:t>Referring Party</w:t>
      </w:r>
      <w:r>
        <w:rPr>
          <w:color w:val="000000"/>
          <w:w w:val="100"/>
        </w:rPr>
        <w:t>”) must provide notice (an “</w:t>
      </w:r>
      <w:r>
        <w:rPr>
          <w:color w:val="000000"/>
          <w:w w:val="100"/>
          <w:u w:val="single"/>
        </w:rPr>
        <w:t>Arbitration Notice</w:t>
      </w:r>
      <w:r>
        <w:rPr>
          <w:color w:val="000000"/>
          <w:w w:val="100"/>
        </w:rPr>
        <w:t>”) to the other party (the “</w:t>
      </w:r>
      <w:r>
        <w:rPr>
          <w:color w:val="000000"/>
          <w:w w:val="100"/>
          <w:u w:val="single"/>
        </w:rPr>
        <w:t>Non</w:t>
        <w:noBreakHyphen/>
        <w:t>Referring Party</w:t>
      </w:r>
      <w:r>
        <w:rPr>
          <w:color w:val="000000"/>
          <w:w w:val="100"/>
        </w:rPr>
        <w:t>”) stating:  (i) a general description of the Claim; and (ii) that the Claim is being referred to arbitration under this Section.</w:t>
      </w:r>
    </w:p>
    <w:p>
      <w:pPr>
        <w:pStyle w:val="Heading3"/>
        <w:rPr>
          <w:color w:val="000000"/>
          <w:w w:val="100"/>
        </w:rPr>
      </w:pPr>
      <w:bookmarkStart w:id="618" w:name="_DV_M404"/>
      <w:bookmarkEnd w:id="618"/>
      <w:r>
        <w:rPr>
          <w:color w:val="000000"/>
          <w:w w:val="100"/>
        </w:rPr>
        <w:t>The Referring Party and the Non</w:t>
        <w:noBreakHyphen/>
        <w:t>Referring Party, shall endeavor to agree promptly on a panel of three arbitrators.  If on or before the 15th day following receipt of the Arbitration Notice they have not so agreed on the three arbitrators, then the Referring Party and the Non</w:t>
        <w:noBreakHyphen/>
        <w:t>Referring Party shall, by notice to each other given within 30 days after the Arbitration Notice, each designate one arbitrator who need not be impartial. The two arbitrators so designated shall endeavor to designate promptly a third arbitrator.  If the two arbitrators have not designated the third arbitrator by the 15th day following the designation of the second arbitrator, or if a second arbitrator has not been designated by the 15th day following the designation of the first, either Party may request the American Arbitration Association (the “</w:t>
      </w:r>
      <w:r>
        <w:rPr>
          <w:color w:val="000000"/>
          <w:w w:val="100"/>
          <w:u w:val="single"/>
        </w:rPr>
        <w:t>AAA</w:t>
      </w:r>
      <w:r>
        <w:rPr>
          <w:color w:val="000000"/>
          <w:w w:val="100"/>
        </w:rPr>
        <w:t>”) to designate the remaining arbitrator(s).  The third arbitrator shall take an oath of neutrality.  If any arbitrator resigns, becomes incapacitated, or otherwise refuses or fails to serve or to continue to serve as an arbitrator, the party or arbitrator entitled to designate that arbitrator shall promptly designate a successor.</w:t>
      </w:r>
    </w:p>
    <w:p>
      <w:pPr>
        <w:pStyle w:val="Heading3"/>
        <w:rPr>
          <w:color w:val="000000"/>
          <w:w w:val="100"/>
        </w:rPr>
      </w:pPr>
      <w:bookmarkStart w:id="619" w:name="_DV_M405"/>
      <w:bookmarkEnd w:id="619"/>
      <w:r>
        <w:rPr>
          <w:color w:val="000000"/>
          <w:w w:val="100"/>
        </w:rPr>
        <w:t>The validity, construction, and interpretation of this agreement to arbitrate, and all procedural aspects of the arbitration conducted pursuant to this agreement to arbitrate, including but not limited to, the determination of the issues that are subject to arbitration (</w:t>
      </w:r>
      <w:r>
        <w:rPr>
          <w:i/>
          <w:iCs/>
          <w:color w:val="000000"/>
          <w:w w:val="100"/>
        </w:rPr>
        <w:t>i.e.</w:t>
      </w:r>
      <w:r>
        <w:rPr>
          <w:color w:val="000000"/>
          <w:w w:val="100"/>
        </w:rPr>
        <w:t>, arbitrability), the scope of the arbitrable issues, allegations of “fraud in the inducement” to enter into this agreement or this arbitration provision, allegations of waiver, laches, delay or other defenses to arbitrability, and the rules governing the conduct of the arbitration (including the time for filing an answer, the time for the filing of counterclaims, the times for amending the pleadings, the specificity of the pleadings, the extent and scope of discovery, the issuance of subpoenas, the times for the designation of experts, whether the arbitration is to be stayed pending resolution of related litigation involving third parties not bound by this arbitration agreement, the receipt of evidence, and the like), shall be decided by the arbitrators to the extent not provided for herein and shall be governed by and construed pursuant to the Federal Arbitration Act.  In deciding the substance of the parties’ Claims, the arbitrators shall apply the substantive laws of the State of New York in accordance with this Agreement.  The arbitrators shall not have the authority to award any treble, punitive, special, exemplary, incidental, indirect or consequential damages.  The arbitrators shall not have the authority to modify or amend any term or provision of this Agreement.  The arbitrators shall have the authority to assess the costs and expenses of the arbitration proceeding (including the arbitrators’ fees and expenses</w:t>
      </w:r>
      <w:bookmarkStart w:id="620" w:name="_DV_C192"/>
      <w:r>
        <w:rPr>
          <w:rStyle w:val="DeltaViewInsertion"/>
          <w:w w:val="100"/>
        </w:rPr>
        <w:t xml:space="preserve"> and attorneys fees and expenses</w:t>
      </w:r>
      <w:bookmarkStart w:id="621" w:name="_DV_M406"/>
      <w:bookmarkEnd w:id="620"/>
      <w:bookmarkEnd w:id="621"/>
      <w:r>
        <w:rPr>
          <w:color w:val="000000"/>
          <w:w w:val="100"/>
        </w:rPr>
        <w:t>) against either or both parties</w:t>
      </w:r>
      <w:bookmarkStart w:id="622" w:name="_DV_C193"/>
      <w:r>
        <w:rPr>
          <w:rStyle w:val="DeltaViewDeletion"/>
          <w:w w:val="100"/>
        </w:rPr>
        <w:t>.  However, each party shall bear its own attorneys fees and the arbitrators shall have no authority to award attorneys fees</w:t>
      </w:r>
      <w:bookmarkStart w:id="623" w:name="_DV_M407"/>
      <w:bookmarkEnd w:id="622"/>
      <w:bookmarkEnd w:id="623"/>
      <w:r>
        <w:rPr>
          <w:color w:val="000000"/>
          <w:w w:val="100"/>
        </w:rPr>
        <w:t>.</w:t>
      </w:r>
    </w:p>
    <w:p>
      <w:pPr>
        <w:pStyle w:val="Heading3"/>
        <w:rPr>
          <w:color w:val="000000"/>
          <w:w w:val="100"/>
        </w:rPr>
      </w:pPr>
      <w:bookmarkStart w:id="624" w:name="_DV_M408"/>
      <w:bookmarkEnd w:id="624"/>
      <w:r>
        <w:rPr>
          <w:color w:val="000000"/>
          <w:w w:val="100"/>
        </w:rPr>
        <w:t>The arbitration shall be conducted in Houston, Texas, or such other place as the parties may agree.  The arbitrators shall set the date, the time, and the place of the hearing, which must commence on or before the 120th day following the designation of the third arbitrator.  All decisions of the three arbitrators shall be made by majority vote.  The arbitration shall be conducted under the procedures set forth in The Commercial Arbitration Rules of the AAA to the extent not inconsistent with the provisions of this Agreement.  The arbitration shall be self-administered by the parties until selection of the arbitrators, and thereafter shall be administered by the arbitrators; provided, if a party believes the process will be enhanced if it is administered by the AAA, such party shall have the right to cause the process to become administered by the AAA by applying to the AAA and, thereafter, the arbitration shall be conducted pursuant to the administration of the AAA.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Heading3"/>
        <w:rPr>
          <w:color w:val="000000"/>
          <w:w w:val="100"/>
        </w:rPr>
      </w:pPr>
      <w:bookmarkStart w:id="625" w:name="_DV_M409"/>
      <w:bookmarkEnd w:id="625"/>
      <w:r>
        <w:rPr>
          <w:color w:val="000000"/>
          <w:w w:val="100"/>
        </w:rPr>
        <w:t>The arbitrator(s) shall render their award on or before the 15th day following the last session of the hearing fully resolving all Claims that are the subject of the proceeding.  The arbitrators’ ultimate decision after final hearing shall be in writing.  The party against which the award assesses a monetary obligation shall pay that obligation on or before the 30th calendar day following the decision or such other date as the decision may provide.  Any award of the arbitrators shall be consistent with the limitations and terms of this Agreement.  The arbitrators shall certify in their decision that no part of the award includes any amount for treble, punitive, special, exemplary, incidental, consequential or other damages not allowed herein.  The arbitrators’ award may be confirmed in, and judgment upon the award entered by, any federal or state court having jurisdiction over the parties.</w:t>
      </w:r>
    </w:p>
    <w:p>
      <w:pPr>
        <w:pStyle w:val="Heading3"/>
        <w:rPr>
          <w:color w:val="000000"/>
          <w:w w:val="100"/>
        </w:rPr>
      </w:pPr>
      <w:bookmarkStart w:id="626" w:name="_DV_M410"/>
      <w:bookmarkEnd w:id="626"/>
      <w:r>
        <w:rPr>
          <w:color w:val="000000"/>
          <w:w w:val="100"/>
        </w:rPr>
        <w:t>The decisions of the arbitrator(s) shall be final and binding on the parties and non-appealable to the maximum extent permitted by law.</w:t>
      </w:r>
    </w:p>
    <w:p>
      <w:pPr>
        <w:pStyle w:val="Heading3"/>
        <w:rPr>
          <w:color w:val="000000"/>
          <w:w w:val="100"/>
        </w:rPr>
      </w:pPr>
      <w:bookmarkStart w:id="627" w:name="_DV_M411"/>
      <w:bookmarkEnd w:id="627"/>
      <w:r>
        <w:rPr>
          <w:color w:val="000000"/>
          <w:w w:val="100"/>
        </w:rPr>
        <w:t>It is the intent of the parties that the arbitration proceeding shall be conducted expeditiously, without initial recourse to the courts and without interlocutory appeals of the arbitrators’ decisions to the courts.  However, if a party refuses to honor its obligations under this agreement to arbitrate, the other party may obtain appropriate relief compelling arbitration in any court having jurisdiction over the parties; the order compelling arbitration shall require that the arbitration proceedings take place in Houston, Texas, as specified above.  The parties may apply to any state or federal court having jurisdiction for orders requiring witnesses to obey subpoenas issued by the arbitrators.  Moreover, any and all of the arbitrators’ orders and decisions may be enforced if necessary by any state or federal court having jurisdiction.  Each party agrees that arbitration pursuant to this Section shall be the exclusive method for resolving all Claims in arbitration and that it will not commence an action or proceeding, except as provided in this Section.</w:t>
      </w:r>
      <w:bookmarkStart w:id="628" w:name="_DV_C194"/>
    </w:p>
    <w:p>
      <w:pPr>
        <w:pStyle w:val="Heading2"/>
        <w:rPr>
          <w:rFonts w:ascii="Times New Roman Bold;Times New Roman" w:hAnsi="Times New Roman Bold;Times New Roman" w:cs="Times New Roman Bold;Times New Roman"/>
          <w:vanish/>
          <w:color w:val="000000"/>
          <w:w w:val="100"/>
          <w:u w:val="none"/>
        </w:rPr>
      </w:pPr>
      <w:bookmarkStart w:id="629" w:name="_DV_C195"/>
      <w:bookmarkStart w:id="630" w:name="_DV_LI0"/>
      <w:bookmarkStart w:id="631" w:name="_DV_IPM18"/>
      <w:bookmarkEnd w:id="628"/>
      <w:bookmarkEnd w:id="630"/>
      <w:bookmarkEnd w:id="631"/>
      <w:r>
        <w:rPr>
          <w:rStyle w:val="DeltaViewInsertion"/>
          <w:b w:val="false"/>
          <w:bCs w:val="false"/>
          <w:w w:val="100"/>
        </w:rPr>
        <w:t>Legend.</w:t>
      </w:r>
      <w:bookmarkEnd w:id="629"/>
    </w:p>
    <w:p>
      <w:pPr>
        <w:pStyle w:val="BodyText"/>
        <w:ind w:hanging="0" w:end="0"/>
        <w:rPr>
          <w:color w:val="000000"/>
          <w:w w:val="100"/>
        </w:rPr>
      </w:pPr>
      <w:bookmarkStart w:id="632" w:name="_DV_C196"/>
      <w:bookmarkStart w:id="633" w:name="_DV_IPM19"/>
      <w:bookmarkEnd w:id="633"/>
      <w:r>
        <w:rPr>
          <w:rStyle w:val="DeltaViewInsertion"/>
          <w:w w:val="100"/>
        </w:rPr>
        <w:t>Each certificate representing the Shares shall bear a legend substantially in the following form:</w:t>
      </w:r>
      <w:bookmarkEnd w:id="632"/>
    </w:p>
    <w:p>
      <w:pPr>
        <w:pStyle w:val="BodyText4"/>
        <w:rPr>
          <w:color w:val="000000"/>
          <w:w w:val="100"/>
        </w:rPr>
      </w:pPr>
      <w:r>
        <w:rPr>
          <w:color w:val="000000"/>
          <w:w w:val="100"/>
        </w:rPr>
      </w:r>
      <w:bookmarkStart w:id="634" w:name="_DV_IPM20"/>
      <w:bookmarkStart w:id="635" w:name="_DV_IPM20"/>
      <w:bookmarkEnd w:id="635"/>
    </w:p>
    <w:p>
      <w:pPr>
        <w:pStyle w:val="BodyText4"/>
        <w:ind w:start="720" w:end="720"/>
        <w:rPr>
          <w:color w:val="000000"/>
          <w:w w:val="100"/>
        </w:rPr>
      </w:pPr>
      <w:bookmarkStart w:id="636" w:name="_DV_C197"/>
      <w:bookmarkStart w:id="637" w:name="_DV_IPM21"/>
      <w:bookmarkEnd w:id="637"/>
      <w:r>
        <w:rPr>
          <w:rStyle w:val="DeltaViewInsertion"/>
          <w:w w:val="100"/>
        </w:rPr>
        <w:t>THE SHARES REPRESENTED BY THIS CERTIFICATE HAVE BEEN ACQUIRED FOR INVESTMENT PURPOSES ONLY AND HAVE NOT BEEN REGISTERED UNDER THE SECURITIES ACT OF 1933, AS AMENDED (THE “SECURITIES ACT”), OR UNDER ANY APPLICABLE STATE SECURITIES LAWS.  SUCH SHARES MAY NOT BE SOLD OR OTHERWISE TRANSFERRED OR PLEDGED, UNTIL (I) A REGISTRATION STATEMENT HAS BEEN DECLARED EFFECTIVE UNDER THE SECURITIES ACT AND SUCH APPLICABLE STATE SECURITIES LAWS OR (II) THE COMPANY RECEIVES AN OPINION OF COUNSEL THAT SUCH SECURITIES MAY BE TRANSFERRED WITHOUT REGISTRATION.</w:t>
      </w:r>
      <w:bookmarkEnd w:id="636"/>
    </w:p>
    <w:p>
      <w:pPr>
        <w:pStyle w:val="BodyText4"/>
        <w:rPr>
          <w:color w:val="000000"/>
          <w:w w:val="100"/>
        </w:rPr>
      </w:pPr>
      <w:r>
        <w:rPr>
          <w:color w:val="000000"/>
          <w:w w:val="100"/>
        </w:rPr>
      </w:r>
      <w:bookmarkStart w:id="638" w:name="_DV_IPM22"/>
      <w:bookmarkStart w:id="639" w:name="_DV_IPM22"/>
      <w:bookmarkEnd w:id="639"/>
    </w:p>
    <w:p>
      <w:pPr>
        <w:pStyle w:val="BodyText4"/>
        <w:rPr>
          <w:color w:val="000000"/>
          <w:w w:val="100"/>
        </w:rPr>
      </w:pPr>
      <w:bookmarkStart w:id="640" w:name="_DV_C198"/>
      <w:bookmarkStart w:id="641" w:name="_DV_IPM23"/>
      <w:bookmarkEnd w:id="641"/>
      <w:r>
        <w:rPr>
          <w:rStyle w:val="DeltaViewInsertion"/>
          <w:w w:val="100"/>
        </w:rPr>
        <w:t>The Company shall cause the foregoing legend to be removed from the certificates representing any restricted securities (as defined under Rule 144 under the Securities Act), at the request of the holder thereof, at such time as they cease to be restricted securities (as defined under Rule 144 under the Securities Act).</w:t>
      </w:r>
      <w:bookmarkEnd w:id="640"/>
    </w:p>
    <w:p>
      <w:pPr>
        <w:pStyle w:val="BodyText4"/>
        <w:rPr>
          <w:color w:val="000000"/>
          <w:w w:val="100"/>
        </w:rPr>
      </w:pPr>
      <w:r>
        <w:rPr>
          <w:color w:val="000000"/>
          <w:w w:val="100"/>
        </w:rPr>
      </w:r>
      <w:bookmarkStart w:id="642" w:name="_DV_IPM24"/>
      <w:bookmarkStart w:id="643" w:name="_DV_IPM24"/>
      <w:bookmarkEnd w:id="643"/>
    </w:p>
    <w:p>
      <w:pPr>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jc w:val="center"/>
        <w:rPr>
          <w:b/>
          <w:bCs/>
          <w:color w:val="000000"/>
          <w:w w:val="100"/>
        </w:rPr>
      </w:pPr>
      <w:bookmarkStart w:id="644" w:name="_DV_M412"/>
      <w:bookmarkEnd w:id="644"/>
      <w:r>
        <w:rPr>
          <w:b/>
          <w:bCs/>
          <w:color w:val="000000"/>
          <w:w w:val="100"/>
        </w:rPr>
        <w:t>[Signature pages follow]</w:t>
      </w:r>
    </w:p>
    <w:p>
      <w:pPr>
        <w:pStyle w:val="BodyText"/>
        <w:rPr>
          <w:color w:val="000000"/>
          <w:w w:val="100"/>
        </w:rPr>
      </w:pPr>
      <w:bookmarkStart w:id="649" w:name="_DV_M413"/>
      <w:bookmarkEnd w:id="649"/>
      <w:r>
        <w:rPr>
          <w:color w:val="000000"/>
          <w:w w:val="100"/>
        </w:rPr>
        <w:t>IN WITNESS WHEREOF, the parties have executed this Common Stock Purchase Agreement under seal as of the date first above written.</w:t>
      </w:r>
    </w:p>
    <w:p>
      <w:pPr>
        <w:pStyle w:val="Signature"/>
        <w:ind w:start="4320" w:end="0"/>
        <w:rPr>
          <w:color w:val="000000"/>
          <w:w w:val="100"/>
        </w:rPr>
      </w:pPr>
      <w:bookmarkStart w:id="650" w:name="_DV_M414"/>
      <w:bookmarkEnd w:id="650"/>
      <w:r>
        <w:rPr>
          <w:color w:val="000000"/>
          <w:w w:val="100"/>
        </w:rPr>
        <w:t>KIODEX, INC.</w:t>
      </w:r>
    </w:p>
    <w:p>
      <w:pPr>
        <w:pStyle w:val="Signature"/>
        <w:ind w:start="4320" w:end="0"/>
        <w:rPr>
          <w:color w:val="000000"/>
          <w:w w:val="100"/>
        </w:rPr>
      </w:pPr>
      <w:r>
        <w:rPr>
          <w:color w:val="000000"/>
          <w:w w:val="100"/>
        </w:rPr>
      </w:r>
    </w:p>
    <w:p>
      <w:pPr>
        <w:pStyle w:val="Signature"/>
        <w:ind w:start="4320" w:end="0"/>
        <w:rPr>
          <w:color w:val="000000"/>
          <w:w w:val="100"/>
        </w:rPr>
      </w:pPr>
      <w:r>
        <w:rPr>
          <w:color w:val="000000"/>
          <w:w w:val="100"/>
        </w:rPr>
      </w:r>
    </w:p>
    <w:p>
      <w:pPr>
        <w:pStyle w:val="Signature"/>
        <w:ind w:start="4320" w:end="0"/>
        <w:rPr>
          <w:color w:val="000000"/>
          <w:w w:val="100"/>
        </w:rPr>
      </w:pPr>
      <w:r>
        <w:rPr>
          <w:color w:val="000000"/>
          <w:w w:val="100"/>
        </w:rPr>
      </w:r>
    </w:p>
    <w:p>
      <w:pPr>
        <w:pStyle w:val="Signature"/>
        <w:tabs>
          <w:tab w:val="clear" w:pos="720"/>
          <w:tab w:val="right" w:pos="9360" w:leader="none"/>
        </w:tabs>
        <w:ind w:start="4320" w:end="0"/>
        <w:rPr>
          <w:color w:val="000000"/>
          <w:w w:val="100"/>
        </w:rPr>
      </w:pPr>
      <w:bookmarkStart w:id="651" w:name="_DV_M415"/>
      <w:bookmarkEnd w:id="651"/>
      <w:r>
        <w:rPr>
          <w:color w:val="000000"/>
          <w:w w:val="100"/>
        </w:rPr>
        <w:t>By:</w:t>
      </w:r>
      <w:r>
        <w:rPr>
          <w:color w:val="000000"/>
          <w:w w:val="100"/>
          <w:u w:val="single"/>
        </w:rPr>
        <w:tab/>
      </w:r>
    </w:p>
    <w:p>
      <w:pPr>
        <w:pStyle w:val="Signature"/>
        <w:ind w:start="4320" w:end="0"/>
        <w:rPr>
          <w:color w:val="000000"/>
          <w:w w:val="100"/>
        </w:rPr>
      </w:pPr>
      <w:bookmarkStart w:id="652" w:name="_DV_M416"/>
      <w:bookmarkEnd w:id="652"/>
      <w:r>
        <w:rPr>
          <w:color w:val="000000"/>
          <w:w w:val="100"/>
        </w:rPr>
        <w:t>Name:</w:t>
      </w:r>
    </w:p>
    <w:p>
      <w:pPr>
        <w:pStyle w:val="Signature"/>
        <w:ind w:start="4320" w:end="0"/>
        <w:rPr>
          <w:color w:val="000000"/>
          <w:w w:val="100"/>
        </w:rPr>
      </w:pPr>
      <w:bookmarkStart w:id="653" w:name="_DV_M417"/>
      <w:bookmarkEnd w:id="653"/>
      <w:r>
        <w:rPr>
          <w:color w:val="000000"/>
          <w:w w:val="100"/>
        </w:rPr>
        <w:t>Title:</w:t>
      </w:r>
    </w:p>
    <w:p>
      <w:pPr>
        <w:pStyle w:val="Signature"/>
        <w:ind w:start="4320" w:end="0"/>
        <w:rPr>
          <w:color w:val="000000"/>
          <w:w w:val="100"/>
        </w:rPr>
      </w:pPr>
      <w:r>
        <w:rPr>
          <w:color w:val="000000"/>
          <w:w w:val="100"/>
        </w:rPr>
      </w:r>
    </w:p>
    <w:p>
      <w:pPr>
        <w:pStyle w:val="Signature"/>
        <w:ind w:start="4320" w:end="0"/>
        <w:rPr>
          <w:color w:val="000000"/>
          <w:w w:val="100"/>
        </w:rPr>
      </w:pPr>
      <w:r>
        <w:rPr>
          <w:color w:val="000000"/>
          <w:w w:val="100"/>
        </w:rPr>
      </w:r>
    </w:p>
    <w:p>
      <w:pPr>
        <w:pStyle w:val="Signature"/>
        <w:ind w:start="4320" w:end="0"/>
        <w:rPr>
          <w:color w:val="000000"/>
          <w:w w:val="100"/>
        </w:rPr>
      </w:pPr>
      <w:bookmarkStart w:id="654" w:name="_DV_M418"/>
      <w:bookmarkEnd w:id="654"/>
      <w:r>
        <w:rPr>
          <w:color w:val="000000"/>
          <w:w w:val="100"/>
        </w:rPr>
        <w:t>ENRON NET WORKS INVESTMENTS LLC</w:t>
      </w:r>
    </w:p>
    <w:p>
      <w:pPr>
        <w:pStyle w:val="Signature"/>
        <w:ind w:start="4320" w:end="0"/>
        <w:rPr>
          <w:color w:val="000000"/>
          <w:w w:val="100"/>
        </w:rPr>
      </w:pPr>
      <w:r>
        <w:rPr>
          <w:color w:val="000000"/>
          <w:w w:val="100"/>
        </w:rPr>
      </w:r>
    </w:p>
    <w:p>
      <w:pPr>
        <w:pStyle w:val="Signature"/>
        <w:ind w:start="4320" w:end="0"/>
        <w:rPr>
          <w:color w:val="000000"/>
          <w:w w:val="100"/>
        </w:rPr>
      </w:pPr>
      <w:r>
        <w:rPr>
          <w:color w:val="000000"/>
          <w:w w:val="100"/>
        </w:rPr>
      </w:r>
    </w:p>
    <w:p>
      <w:pPr>
        <w:pStyle w:val="Signature"/>
        <w:ind w:start="4320" w:end="0"/>
        <w:rPr>
          <w:color w:val="000000"/>
          <w:w w:val="100"/>
        </w:rPr>
      </w:pPr>
      <w:r>
        <w:rPr>
          <w:color w:val="000000"/>
          <w:w w:val="100"/>
        </w:rPr>
      </w:r>
    </w:p>
    <w:p>
      <w:pPr>
        <w:pStyle w:val="Signature"/>
        <w:tabs>
          <w:tab w:val="clear" w:pos="720"/>
          <w:tab w:val="right" w:pos="9360" w:leader="none"/>
        </w:tabs>
        <w:ind w:start="4320" w:end="0"/>
        <w:rPr/>
      </w:pPr>
      <w:bookmarkStart w:id="655" w:name="_DV_M419"/>
      <w:bookmarkEnd w:id="655"/>
      <w:r>
        <w:rPr>
          <w:color w:val="000000"/>
          <w:w w:val="100"/>
        </w:rPr>
        <w:t>By:</w:t>
      </w:r>
      <w:r>
        <w:rPr>
          <w:color w:val="000000"/>
          <w:w w:val="100"/>
          <w:u w:val="single"/>
        </w:rPr>
        <w:tab/>
      </w:r>
    </w:p>
    <w:p>
      <w:pPr>
        <w:pStyle w:val="Signature"/>
        <w:ind w:start="4320" w:end="0"/>
        <w:rPr>
          <w:color w:val="000000"/>
          <w:w w:val="100"/>
        </w:rPr>
      </w:pPr>
      <w:bookmarkStart w:id="656" w:name="_DV_M420"/>
      <w:bookmarkEnd w:id="656"/>
      <w:r>
        <w:rPr>
          <w:color w:val="000000"/>
          <w:w w:val="100"/>
        </w:rPr>
        <w:t>Name:</w:t>
      </w:r>
    </w:p>
    <w:p>
      <w:pPr>
        <w:sectPr>
          <w:headerReference w:type="default" r:id="rId12"/>
          <w:headerReference w:type="first" r:id="rId13"/>
          <w:footerReference w:type="default" r:id="rId14"/>
          <w:footerReference w:type="first" r:id="rId15"/>
          <w:type w:val="nextPage"/>
          <w:pgSz w:w="12240" w:h="15840"/>
          <w:pgMar w:left="1440" w:right="1440" w:gutter="0" w:header="720" w:top="1440" w:footer="720" w:bottom="1440"/>
          <w:pgNumType w:start="1" w:fmt="decimal"/>
          <w:formProt w:val="false"/>
          <w:titlePg/>
          <w:textDirection w:val="lrTb"/>
          <w:docGrid w:type="default" w:linePitch="360" w:charSpace="0"/>
        </w:sectPr>
        <w:pStyle w:val="Signature"/>
        <w:ind w:start="4320" w:end="0"/>
        <w:rPr>
          <w:color w:val="000000"/>
          <w:w w:val="100"/>
        </w:rPr>
      </w:pPr>
      <w:bookmarkStart w:id="657" w:name="_DV_M421"/>
      <w:bookmarkEnd w:id="657"/>
      <w:r>
        <w:rPr>
          <w:color w:val="000000"/>
          <w:w w:val="100"/>
        </w:rPr>
        <w:t>Title:</w:t>
      </w:r>
    </w:p>
    <w:p>
      <w:pPr>
        <w:pStyle w:val="Normal"/>
        <w:jc w:val="center"/>
        <w:rPr>
          <w:b/>
          <w:bCs/>
          <w:color w:val="000000"/>
          <w:w w:val="100"/>
        </w:rPr>
      </w:pPr>
      <w:bookmarkStart w:id="660" w:name="_DV_M422"/>
      <w:bookmarkEnd w:id="660"/>
      <w:r>
        <w:rPr>
          <w:b/>
          <w:bCs/>
          <w:color w:val="000000"/>
          <w:w w:val="100"/>
        </w:rPr>
        <w:t xml:space="preserve">EXHIBIT </w:t>
      </w:r>
      <w:bookmarkStart w:id="661" w:name="_DV_C205"/>
      <w:r>
        <w:rPr>
          <w:rStyle w:val="DeltaViewDeletion"/>
          <w:b/>
          <w:bCs/>
          <w:w w:val="100"/>
        </w:rPr>
        <w:t>F</w:t>
      </w:r>
      <w:bookmarkStart w:id="662" w:name="_DV_C206"/>
      <w:bookmarkEnd w:id="661"/>
      <w:r>
        <w:rPr>
          <w:rStyle w:val="DeltaViewInsertion"/>
          <w:w w:val="100"/>
        </w:rPr>
        <w:t>B</w:t>
      </w:r>
      <w:bookmarkEnd w:id="662"/>
    </w:p>
    <w:p>
      <w:pPr>
        <w:pStyle w:val="Normal"/>
        <w:jc w:val="center"/>
        <w:rPr>
          <w:color w:val="000000"/>
          <w:w w:val="100"/>
        </w:rPr>
      </w:pPr>
      <w:bookmarkStart w:id="663" w:name="_DV_M423"/>
      <w:bookmarkEnd w:id="663"/>
      <w:r>
        <w:rPr>
          <w:b/>
          <w:bCs/>
          <w:color w:val="000000"/>
          <w:w w:val="100"/>
        </w:rPr>
        <w:t>FORM OF LEGAL OPINION</w:t>
      </w:r>
    </w:p>
    <w:p>
      <w:pPr>
        <w:pStyle w:val="Normal"/>
        <w:jc w:val="center"/>
        <w:rPr>
          <w:color w:val="000000"/>
          <w:w w:val="100"/>
        </w:rPr>
      </w:pPr>
      <w:r>
        <w:rPr>
          <w:color w:val="000000"/>
          <w:w w:val="100"/>
        </w:rPr>
      </w:r>
    </w:p>
    <w:p>
      <w:pPr>
        <w:pStyle w:val="Normal"/>
        <w:jc w:val="both"/>
        <w:rPr>
          <w:b/>
          <w:bCs/>
          <w:color w:val="000000"/>
          <w:w w:val="100"/>
          <w:u w:val="single"/>
        </w:rPr>
      </w:pPr>
      <w:r>
        <w:rPr>
          <w:b/>
          <w:bCs/>
          <w:color w:val="000000"/>
          <w:w w:val="100"/>
          <w:u w:val="single"/>
        </w:rPr>
      </w:r>
    </w:p>
    <w:p>
      <w:pPr>
        <w:pStyle w:val="Normal"/>
        <w:jc w:val="both"/>
        <w:rPr>
          <w:color w:val="000000"/>
          <w:w w:val="100"/>
        </w:rPr>
      </w:pPr>
      <w:bookmarkStart w:id="664" w:name="_DV_M424"/>
      <w:bookmarkEnd w:id="664"/>
      <w:r>
        <w:rPr>
          <w:color w:val="000000"/>
          <w:w w:val="100"/>
        </w:rPr>
        <w:t>Enron Net Works Investments LLC</w:t>
      </w:r>
    </w:p>
    <w:p>
      <w:pPr>
        <w:pStyle w:val="Normal"/>
        <w:jc w:val="both"/>
        <w:rPr>
          <w:color w:val="000000"/>
          <w:w w:val="100"/>
        </w:rPr>
      </w:pPr>
      <w:bookmarkStart w:id="665" w:name="_DV_M425"/>
      <w:bookmarkEnd w:id="665"/>
      <w:r>
        <w:rPr>
          <w:color w:val="000000"/>
          <w:w w:val="100"/>
        </w:rPr>
        <w:t>1400 Smith Street</w:t>
      </w:r>
    </w:p>
    <w:p>
      <w:pPr>
        <w:pStyle w:val="Normal"/>
        <w:jc w:val="both"/>
        <w:rPr>
          <w:color w:val="000000"/>
          <w:w w:val="100"/>
        </w:rPr>
      </w:pPr>
      <w:bookmarkStart w:id="666" w:name="_DV_M426"/>
      <w:bookmarkEnd w:id="666"/>
      <w:r>
        <w:rPr>
          <w:color w:val="000000"/>
          <w:w w:val="100"/>
        </w:rPr>
        <w:t>Houston, Texas  77002-7361</w:t>
      </w:r>
    </w:p>
    <w:p>
      <w:pPr>
        <w:pStyle w:val="Normal"/>
        <w:jc w:val="both"/>
        <w:rPr>
          <w:color w:val="000000"/>
          <w:w w:val="100"/>
        </w:rPr>
      </w:pPr>
      <w:r>
        <w:rPr>
          <w:color w:val="000000"/>
          <w:w w:val="100"/>
        </w:rPr>
      </w:r>
    </w:p>
    <w:p>
      <w:pPr>
        <w:pStyle w:val="Normal"/>
        <w:jc w:val="center"/>
        <w:rPr>
          <w:color w:val="000000"/>
          <w:w w:val="100"/>
        </w:rPr>
      </w:pPr>
      <w:bookmarkStart w:id="667" w:name="_DV_M427"/>
      <w:bookmarkEnd w:id="667"/>
      <w:r>
        <w:rPr>
          <w:color w:val="000000"/>
          <w:w w:val="100"/>
        </w:rPr>
        <w:t>_______________, 2001</w:t>
      </w:r>
    </w:p>
    <w:p>
      <w:pPr>
        <w:pStyle w:val="Normal"/>
        <w:jc w:val="both"/>
        <w:rPr>
          <w:color w:val="000000"/>
          <w:w w:val="100"/>
        </w:rPr>
      </w:pPr>
      <w:r>
        <w:rPr>
          <w:color w:val="000000"/>
          <w:w w:val="100"/>
        </w:rPr>
      </w:r>
    </w:p>
    <w:p>
      <w:pPr>
        <w:pStyle w:val="Normal"/>
        <w:jc w:val="both"/>
        <w:rPr>
          <w:color w:val="000000"/>
          <w:w w:val="100"/>
        </w:rPr>
      </w:pPr>
      <w:r>
        <w:rPr>
          <w:color w:val="000000"/>
          <w:w w:val="100"/>
        </w:rPr>
      </w:r>
    </w:p>
    <w:p>
      <w:pPr>
        <w:pStyle w:val="Normal"/>
        <w:jc w:val="both"/>
        <w:rPr>
          <w:color w:val="000000"/>
          <w:w w:val="100"/>
        </w:rPr>
      </w:pPr>
      <w:bookmarkStart w:id="668" w:name="_DV_M428"/>
      <w:bookmarkEnd w:id="668"/>
      <w:r>
        <w:rPr>
          <w:color w:val="000000"/>
          <w:w w:val="100"/>
        </w:rPr>
        <w:t>Ladies and Gentlemen:</w:t>
      </w:r>
    </w:p>
    <w:p>
      <w:pPr>
        <w:pStyle w:val="Normal"/>
        <w:jc w:val="both"/>
        <w:rPr>
          <w:color w:val="000000"/>
          <w:w w:val="100"/>
        </w:rPr>
      </w:pPr>
      <w:r>
        <w:rPr>
          <w:color w:val="000000"/>
          <w:w w:val="100"/>
        </w:rPr>
      </w:r>
    </w:p>
    <w:p>
      <w:pPr>
        <w:pStyle w:val="Normal"/>
        <w:jc w:val="both"/>
        <w:rPr/>
      </w:pPr>
      <w:bookmarkStart w:id="669" w:name="_DV_M429"/>
      <w:bookmarkEnd w:id="669"/>
      <w:r>
        <w:rPr>
          <w:color w:val="000000"/>
          <w:w w:val="100"/>
        </w:rPr>
        <w:tab/>
        <w:t>We have acted as counsel to Kiodex, Inc., a Delaware corporation (the “</w:t>
      </w:r>
      <w:r>
        <w:rPr>
          <w:color w:val="000000"/>
          <w:w w:val="100"/>
          <w:u w:val="single"/>
        </w:rPr>
        <w:t>Company</w:t>
      </w:r>
      <w:r>
        <w:rPr>
          <w:color w:val="000000"/>
          <w:w w:val="100"/>
        </w:rPr>
        <w:t>”), in connection with the issuance and sale by the Company to Enron Net Works Investments LLC (the “</w:t>
      </w:r>
      <w:r>
        <w:rPr>
          <w:color w:val="000000"/>
          <w:w w:val="100"/>
          <w:u w:val="single"/>
        </w:rPr>
        <w:t>Investor</w:t>
      </w:r>
      <w:r>
        <w:rPr>
          <w:color w:val="000000"/>
          <w:w w:val="100"/>
        </w:rPr>
        <w:t>”) of shares of the Company’s Common Stock, par value $0.001 per share (“</w:t>
      </w:r>
      <w:r>
        <w:rPr>
          <w:color w:val="000000"/>
          <w:w w:val="100"/>
          <w:u w:val="single"/>
        </w:rPr>
        <w:t>Common Stock</w:t>
      </w:r>
      <w:r>
        <w:rPr>
          <w:color w:val="000000"/>
          <w:w w:val="100"/>
        </w:rPr>
        <w:t>”), pursuant to the Common Stock Purchase Agreement dated _________, 2001 between the Company and the Investor (the “</w:t>
      </w:r>
      <w:r>
        <w:rPr>
          <w:color w:val="000000"/>
          <w:w w:val="100"/>
          <w:u w:val="single"/>
        </w:rPr>
        <w:t>Agreement</w:t>
      </w:r>
      <w:r>
        <w:rPr>
          <w:color w:val="000000"/>
          <w:w w:val="100"/>
        </w:rPr>
        <w:t>”) .  Unless otherwise defined herein, all capitalized terms used herein shall have the meanings given to such terms in the Agreement.  This opinion is being furnished to you pursuant to Section [4.1(c)] of the Agreement.</w:t>
      </w:r>
    </w:p>
    <w:p>
      <w:pPr>
        <w:pStyle w:val="Normal"/>
        <w:jc w:val="both"/>
        <w:rPr>
          <w:color w:val="000000"/>
          <w:w w:val="100"/>
        </w:rPr>
      </w:pPr>
      <w:r>
        <w:rPr>
          <w:color w:val="000000"/>
          <w:w w:val="100"/>
        </w:rPr>
      </w:r>
    </w:p>
    <w:p>
      <w:pPr>
        <w:pStyle w:val="Normal"/>
        <w:jc w:val="both"/>
        <w:rPr/>
      </w:pPr>
      <w:bookmarkStart w:id="670" w:name="_DV_M430"/>
      <w:bookmarkEnd w:id="670"/>
      <w:r>
        <w:rPr>
          <w:color w:val="000000"/>
          <w:w w:val="100"/>
        </w:rPr>
        <w:tab/>
      </w:r>
      <w:r>
        <w:rPr>
          <w:b/>
          <w:bCs/>
          <w:color w:val="000000"/>
          <w:w w:val="100"/>
        </w:rPr>
        <w:t>[Company’s counsel to add customary limitations, qualifications and exceptions - - subject to Investor’s counsel’s review]</w:t>
      </w:r>
    </w:p>
    <w:p>
      <w:pPr>
        <w:pStyle w:val="Normal"/>
        <w:jc w:val="both"/>
        <w:rPr>
          <w:b/>
          <w:bCs/>
          <w:color w:val="000000"/>
          <w:w w:val="100"/>
        </w:rPr>
      </w:pPr>
      <w:r>
        <w:rPr>
          <w:b/>
          <w:bCs/>
          <w:color w:val="000000"/>
          <w:w w:val="100"/>
        </w:rPr>
      </w:r>
    </w:p>
    <w:p>
      <w:pPr>
        <w:pStyle w:val="Normal"/>
        <w:ind w:firstLine="720" w:end="0"/>
        <w:jc w:val="both"/>
        <w:rPr>
          <w:color w:val="000000"/>
          <w:w w:val="100"/>
        </w:rPr>
      </w:pPr>
      <w:bookmarkStart w:id="671" w:name="_DV_M431"/>
      <w:bookmarkEnd w:id="671"/>
      <w:r>
        <w:rPr>
          <w:color w:val="000000"/>
          <w:w w:val="100"/>
        </w:rPr>
        <w:t>Based upon the foregoing, and subject to the assumptions, qualifications, exceptions and limitations contained herein, it is our opinion that:</w:t>
      </w:r>
    </w:p>
    <w:p>
      <w:pPr>
        <w:pStyle w:val="Normal"/>
        <w:jc w:val="both"/>
        <w:rPr>
          <w:color w:val="000000"/>
          <w:w w:val="100"/>
        </w:rPr>
      </w:pPr>
      <w:r>
        <w:rPr>
          <w:color w:val="000000"/>
          <w:w w:val="100"/>
        </w:rPr>
      </w:r>
    </w:p>
    <w:p>
      <w:pPr>
        <w:pStyle w:val="vlg-5"/>
        <w:numPr>
          <w:ilvl w:val="0"/>
          <w:numId w:val="3"/>
        </w:numPr>
        <w:ind w:firstLine="720" w:start="0" w:end="0"/>
        <w:jc w:val="both"/>
        <w:rPr>
          <w:color w:val="000000"/>
          <w:w w:val="100"/>
        </w:rPr>
      </w:pPr>
      <w:bookmarkStart w:id="672" w:name="_DV_M432"/>
      <w:bookmarkEnd w:id="672"/>
      <w:r>
        <w:rPr>
          <w:color w:val="000000"/>
          <w:w w:val="100"/>
        </w:rPr>
        <w:t>The Company is a corporation duly organized, validly existing and in good standing under the laws of the State of Delaware, and has full corporate power and authority to own its properties and to conduct its business as it is presently conducted and, to our knowledge, as currently proposed to be conducted.</w:t>
      </w:r>
    </w:p>
    <w:p>
      <w:pPr>
        <w:pStyle w:val="vlg-5"/>
        <w:numPr>
          <w:ilvl w:val="0"/>
          <w:numId w:val="3"/>
        </w:numPr>
        <w:ind w:firstLine="720" w:start="0" w:end="0"/>
        <w:jc w:val="both"/>
        <w:rPr>
          <w:color w:val="000000"/>
          <w:w w:val="100"/>
        </w:rPr>
      </w:pPr>
      <w:bookmarkStart w:id="673" w:name="_DV_M433"/>
      <w:bookmarkEnd w:id="673"/>
      <w:r>
        <w:rPr>
          <w:color w:val="000000"/>
          <w:w w:val="100"/>
        </w:rPr>
        <w:t>The Company is qualified to do business as a foreign corporation in the State of New York and in each other jurisdiction of the United States where failure to qualify would have a Material Adverse Effect.</w:t>
      </w:r>
    </w:p>
    <w:p>
      <w:pPr>
        <w:pStyle w:val="vlg-5"/>
        <w:numPr>
          <w:ilvl w:val="0"/>
          <w:numId w:val="3"/>
        </w:numPr>
        <w:ind w:firstLine="720" w:start="0" w:end="0"/>
        <w:jc w:val="both"/>
        <w:rPr>
          <w:color w:val="000000"/>
          <w:w w:val="100"/>
        </w:rPr>
      </w:pPr>
      <w:bookmarkStart w:id="674" w:name="_DV_M434"/>
      <w:bookmarkEnd w:id="674"/>
      <w:r>
        <w:rPr>
          <w:color w:val="000000"/>
          <w:w w:val="100"/>
        </w:rPr>
        <w:t>The Company has the corporate power to execute and deliver and to perform its obligations under the Agreement and each of the Related Agreements.  The Agreement and each of the Related Agreements have been duly authorized by all corporate action necessary on the part of the Company.  The Agreement and each of the Related Agreements have been duly executed and delivered by the Company and each constitutes the legal, valid and binding obligation of the Company, enforceable against the Company in accordance with its respective terms.</w:t>
      </w:r>
    </w:p>
    <w:p>
      <w:pPr>
        <w:pStyle w:val="vlg-5"/>
        <w:numPr>
          <w:ilvl w:val="0"/>
          <w:numId w:val="3"/>
        </w:numPr>
        <w:ind w:firstLine="720" w:start="0" w:end="0"/>
        <w:jc w:val="both"/>
        <w:rPr>
          <w:color w:val="000000"/>
          <w:w w:val="100"/>
        </w:rPr>
      </w:pPr>
      <w:bookmarkStart w:id="675" w:name="_DV_M435"/>
      <w:bookmarkEnd w:id="675"/>
      <w:r>
        <w:rPr>
          <w:color w:val="000000"/>
          <w:w w:val="100"/>
        </w:rPr>
        <w:t>The execution and delivery by the Company of the Agreement and each of the Related Agreements do not, and the performance by the Company of its obligations thereunder will not, (i) result in a violation of the Company’s Certificate of Incorporation or Bylaws, (ii) result in a violation by the Company of any applicable federal or state law, or any rule or regulation thereunder, (iii) breach or result in a default by the Company of any written agreement listed in the Company’s Disclosure Schedule, or (iv) to our knowledge, result in the creation or imposition of any lien on any of the assets of the Company.</w:t>
      </w:r>
    </w:p>
    <w:p>
      <w:pPr>
        <w:pStyle w:val="vlg-5"/>
        <w:numPr>
          <w:ilvl w:val="0"/>
          <w:numId w:val="3"/>
        </w:numPr>
        <w:ind w:firstLine="720" w:start="0" w:end="0"/>
        <w:jc w:val="both"/>
        <w:rPr>
          <w:color w:val="000000"/>
          <w:w w:val="100"/>
        </w:rPr>
      </w:pPr>
      <w:bookmarkStart w:id="676" w:name="_DV_M436"/>
      <w:bookmarkEnd w:id="676"/>
      <w:r>
        <w:rPr>
          <w:color w:val="000000"/>
          <w:w w:val="100"/>
        </w:rPr>
        <w:t>Immediately prior to the Closing, the Company’s authorized and outstanding capital stock is as follows:</w:t>
      </w:r>
    </w:p>
    <w:p>
      <w:pPr>
        <w:pStyle w:val="vlg-5"/>
        <w:jc w:val="both"/>
        <w:rPr>
          <w:color w:val="000000"/>
          <w:w w:val="100"/>
        </w:rPr>
      </w:pPr>
      <w:bookmarkStart w:id="677" w:name="_DV_M437"/>
      <w:bookmarkEnd w:id="677"/>
      <w:r>
        <w:rPr>
          <w:color w:val="000000"/>
          <w:w w:val="100"/>
        </w:rPr>
        <w:t>[insert capitalization information]</w:t>
      </w:r>
    </w:p>
    <w:p>
      <w:pPr>
        <w:pStyle w:val="Normal"/>
        <w:ind w:firstLine="720" w:end="0"/>
        <w:jc w:val="both"/>
        <w:rPr>
          <w:color w:val="000000"/>
          <w:w w:val="100"/>
        </w:rPr>
      </w:pPr>
      <w:bookmarkStart w:id="678" w:name="_DV_M438"/>
      <w:bookmarkEnd w:id="678"/>
      <w:r>
        <w:rPr>
          <w:color w:val="000000"/>
          <w:w w:val="100"/>
        </w:rPr>
        <w:t>To our knowledge, except as set forth in Section 2.5 of the Disclosure Schedule, there are no outstanding shares of capital stock of the Company or warrants, options, agreements, convertible securities or other commitments pursuant to which the Company is or may become obligated to issue, redeem or purchase any shares of capital stock or other securities of the Company and there are no outstanding or authorized phantom stock or similar rights with respect to the Company and the Company has no obligation or commitment to grant or issue any of the foregoing.  To our knowledge, except as set forth in Section 2.5 of the Disclosure Schedule and except as set forth in the Related Agreements, there are no preemptive rights, contractual rights of first refusal or similar rights to purchase or otherwise acquire shares of capital stock of the Company pursuant to any provision of law, the Certificate of Incorporation or the By-Laws or any agreement to which the Company is a party.  To our knowledge, no shares of capital stock of the Company are held in the treasury of the Company.  All outstanding shares of Common Stock of the Company have been duly authorized and validly issued and are fully paid and nonassessable.</w:t>
      </w:r>
    </w:p>
    <w:p>
      <w:pPr>
        <w:pStyle w:val="Normal"/>
        <w:jc w:val="both"/>
        <w:rPr>
          <w:color w:val="000000"/>
          <w:w w:val="100"/>
        </w:rPr>
      </w:pPr>
      <w:r>
        <w:rPr>
          <w:color w:val="000000"/>
          <w:w w:val="100"/>
        </w:rPr>
      </w:r>
    </w:p>
    <w:p>
      <w:pPr>
        <w:pStyle w:val="vlg-5"/>
        <w:numPr>
          <w:ilvl w:val="0"/>
          <w:numId w:val="3"/>
        </w:numPr>
        <w:ind w:firstLine="720" w:start="0" w:end="0"/>
        <w:jc w:val="both"/>
        <w:rPr>
          <w:color w:val="000000"/>
          <w:w w:val="100"/>
        </w:rPr>
      </w:pPr>
      <w:bookmarkStart w:id="679" w:name="_DV_M439"/>
      <w:bookmarkEnd w:id="679"/>
      <w:r>
        <w:rPr>
          <w:color w:val="000000"/>
          <w:w w:val="100"/>
        </w:rPr>
        <w:t>The Shares</w:t>
      </w:r>
      <w:bookmarkStart w:id="680" w:name="_DV_C207"/>
      <w:r>
        <w:rPr>
          <w:rStyle w:val="DeltaViewDeletion"/>
          <w:w w:val="100"/>
        </w:rPr>
        <w:t xml:space="preserve"> and the Warrant</w:t>
      </w:r>
      <w:bookmarkStart w:id="681" w:name="_DV_M440"/>
      <w:bookmarkEnd w:id="680"/>
      <w:bookmarkEnd w:id="681"/>
      <w:r>
        <w:rPr>
          <w:color w:val="000000"/>
          <w:w w:val="100"/>
        </w:rPr>
        <w:t xml:space="preserve"> have been duly authorized by the Company. Upon issuance and delivery against payment therefor at the Closing pursuant to the terms of the Agreement, the Shares to be purchased at the Closing will be validly issued, fully paid and nonassessable.  </w:t>
      </w:r>
      <w:bookmarkStart w:id="682" w:name="_DV_C208"/>
      <w:r>
        <w:rPr>
          <w:rStyle w:val="DeltaViewDeletion"/>
          <w:w w:val="100"/>
        </w:rPr>
        <w:t>Neither the</w:t>
      </w:r>
      <w:bookmarkStart w:id="683" w:name="_DV_C209"/>
      <w:bookmarkEnd w:id="682"/>
      <w:r>
        <w:rPr>
          <w:rStyle w:val="DeltaViewInsertion"/>
          <w:w w:val="100"/>
        </w:rPr>
        <w:t>The</w:t>
      </w:r>
      <w:bookmarkStart w:id="684" w:name="_DV_M441"/>
      <w:bookmarkEnd w:id="683"/>
      <w:bookmarkEnd w:id="684"/>
      <w:r>
        <w:rPr>
          <w:color w:val="000000"/>
          <w:w w:val="100"/>
        </w:rPr>
        <w:t xml:space="preserve"> Shares to be issued under the Agreement at the Closing </w:t>
      </w:r>
      <w:bookmarkStart w:id="685" w:name="_DV_C210"/>
      <w:r>
        <w:rPr>
          <w:rStyle w:val="DeltaViewDeletion"/>
          <w:w w:val="100"/>
        </w:rPr>
        <w:t xml:space="preserve">nor the Warrant </w:t>
      </w:r>
      <w:bookmarkStart w:id="686" w:name="_DV_M442"/>
      <w:bookmarkEnd w:id="685"/>
      <w:bookmarkEnd w:id="686"/>
      <w:r>
        <w:rPr>
          <w:color w:val="000000"/>
          <w:w w:val="100"/>
        </w:rPr>
        <w:t>are</w:t>
      </w:r>
      <w:bookmarkStart w:id="687" w:name="_DV_C211"/>
      <w:r>
        <w:rPr>
          <w:rStyle w:val="DeltaViewInsertion"/>
          <w:w w:val="100"/>
        </w:rPr>
        <w:t xml:space="preserve"> not</w:t>
      </w:r>
      <w:bookmarkStart w:id="688" w:name="_DV_M443"/>
      <w:bookmarkEnd w:id="687"/>
      <w:bookmarkEnd w:id="688"/>
      <w:r>
        <w:rPr>
          <w:color w:val="000000"/>
          <w:w w:val="100"/>
        </w:rPr>
        <w:t xml:space="preserve"> subject to any statutory preemptive rights of any holders of capital stock of the Company.</w:t>
      </w:r>
    </w:p>
    <w:p>
      <w:pPr>
        <w:pStyle w:val="vlg-5"/>
        <w:tabs>
          <w:tab w:val="clear" w:pos="720"/>
          <w:tab w:val="left" w:pos="1440" w:leader="none"/>
        </w:tabs>
        <w:jc w:val="both"/>
        <w:rPr>
          <w:color w:val="000000"/>
          <w:w w:val="100"/>
        </w:rPr>
      </w:pPr>
      <w:bookmarkStart w:id="689" w:name="_DV_C212"/>
      <w:r>
        <w:rPr>
          <w:rStyle w:val="DeltaViewDeletion"/>
          <w:w w:val="100"/>
        </w:rPr>
        <w:t>7.</w:t>
        <w:tab/>
      </w:r>
      <w:bookmarkStart w:id="690" w:name="_DV_C213"/>
      <w:bookmarkEnd w:id="689"/>
      <w:r>
        <w:rPr>
          <w:rStyle w:val="DeltaViewDeletion"/>
          <w:w w:val="100"/>
        </w:rPr>
        <w:t>Assuming (i) that there has been no change that is material to the opinions expressed herein in (A) currently applicable law, (B) the capital structure of the Company, (C) the provisions of the Certificate of Incorporation and Bylaws of the Company and (D) the reservation by the Board of Directors of sufficient shares of Common Stock issuable upon the exercise of the Warrant, and (ii) that any Common Stock issued upon exercise of the Warrant is issued pursuant to the provisions of the Warrant, the shares of Common Stock issuable upon exercise of the Warrant, upon issuance and delivery in accordance with the Warrant, will be duly authorized and validly issued, and fully paid and nonassessable.  Assuming that the number of shares of Common Stock issuable upon exercise of the Warrant does not increase pursuant to the terms of the Warrant, the Company has taken all corporate action necessary to reserve sufficient shares of Common Stock to be issued upon exercise of the Warrant.</w:t>
      </w:r>
      <w:bookmarkStart w:id="691" w:name="_DV_C214"/>
      <w:bookmarkEnd w:id="690"/>
    </w:p>
    <w:p>
      <w:pPr>
        <w:pStyle w:val="vlg-5"/>
        <w:numPr>
          <w:ilvl w:val="0"/>
          <w:numId w:val="3"/>
        </w:numPr>
        <w:ind w:firstLine="720" w:start="0" w:end="0"/>
        <w:jc w:val="both"/>
        <w:rPr>
          <w:color w:val="000000"/>
          <w:w w:val="100"/>
        </w:rPr>
      </w:pPr>
      <w:bookmarkStart w:id="692" w:name="_DV_C215"/>
      <w:bookmarkEnd w:id="691"/>
      <w:r>
        <w:rPr>
          <w:rStyle w:val="DeltaViewDeletion"/>
          <w:w w:val="100"/>
        </w:rPr>
        <w:t xml:space="preserve">8. </w:t>
      </w:r>
      <w:bookmarkStart w:id="693" w:name="_DV_M444"/>
      <w:bookmarkEnd w:id="692"/>
      <w:bookmarkEnd w:id="693"/>
      <w:r>
        <w:rPr>
          <w:color w:val="000000"/>
          <w:w w:val="100"/>
        </w:rPr>
        <w:t xml:space="preserve">Based in part upon the accuracy of the representations of the Investor in the Agreement, the offer and sale to the Investor of the Shares pursuant to the terms of the Agreement </w:t>
      </w:r>
      <w:bookmarkStart w:id="694" w:name="_DV_C216"/>
      <w:r>
        <w:rPr>
          <w:rStyle w:val="DeltaViewDeletion"/>
          <w:w w:val="100"/>
        </w:rPr>
        <w:t xml:space="preserve">and the Warrant </w:t>
      </w:r>
      <w:bookmarkStart w:id="695" w:name="_DV_M445"/>
      <w:bookmarkEnd w:id="694"/>
      <w:bookmarkEnd w:id="695"/>
      <w:r>
        <w:rPr>
          <w:color w:val="000000"/>
          <w:w w:val="100"/>
        </w:rPr>
        <w:t>are exempt from the registration requirements of Section 5 of the Securities Act of 1933, as amended, and of applicable state securities or blue sky laws</w:t>
      </w:r>
      <w:bookmarkStart w:id="696" w:name="_DV_C217"/>
      <w:r>
        <w:rPr>
          <w:rStyle w:val="DeltaViewDeletion"/>
          <w:w w:val="100"/>
        </w:rPr>
        <w:t>.  Assuming the representations of the Investor in the Agreement continue to be accurate as of the date of exercise, the issuance of the Common Stock to the Investor upon exercise of the Warrant would be exempt from the registration requirements of Section 5 of the Securities Act of 1933, as amended, and of applicable state securities or blue sky laws, as such securities and blue sky laws presently exist</w:t>
      </w:r>
      <w:bookmarkStart w:id="697" w:name="_DV_M446"/>
      <w:bookmarkEnd w:id="696"/>
      <w:bookmarkEnd w:id="697"/>
      <w:r>
        <w:rPr>
          <w:color w:val="000000"/>
          <w:w w:val="100"/>
        </w:rPr>
        <w:t>.</w:t>
      </w:r>
      <w:bookmarkStart w:id="698" w:name="_DV_C218"/>
    </w:p>
    <w:p>
      <w:pPr>
        <w:pStyle w:val="vlg-5"/>
        <w:numPr>
          <w:ilvl w:val="0"/>
          <w:numId w:val="3"/>
        </w:numPr>
        <w:ind w:firstLine="720" w:start="0" w:end="0"/>
        <w:jc w:val="both"/>
        <w:rPr>
          <w:color w:val="000000"/>
          <w:w w:val="100"/>
        </w:rPr>
      </w:pPr>
      <w:bookmarkStart w:id="699" w:name="_DV_C219"/>
      <w:bookmarkEnd w:id="698"/>
      <w:r>
        <w:rPr>
          <w:rStyle w:val="DeltaViewDeletion"/>
          <w:w w:val="100"/>
        </w:rPr>
        <w:t xml:space="preserve">9. </w:t>
      </w:r>
      <w:bookmarkStart w:id="700" w:name="_DV_M447"/>
      <w:bookmarkEnd w:id="699"/>
      <w:bookmarkEnd w:id="700"/>
      <w:r>
        <w:rPr>
          <w:color w:val="000000"/>
          <w:w w:val="100"/>
        </w:rPr>
        <w:t>The execution and delivery by the Company of the Agreement and the Related Agreements do not, and the performance by the Company of its obligations thereunder will not, require that the Company obtain the approval of, or make any filing with, any governmental authority under any applicable federal or state law, except for filings under securities and blue sky laws not required to be made prior to Closing.</w:t>
      </w:r>
      <w:bookmarkStart w:id="701" w:name="_DV_C220"/>
    </w:p>
    <w:p>
      <w:pPr>
        <w:pStyle w:val="vlg-5"/>
        <w:numPr>
          <w:ilvl w:val="0"/>
          <w:numId w:val="3"/>
        </w:numPr>
        <w:ind w:firstLine="720" w:start="0" w:end="0"/>
        <w:jc w:val="both"/>
        <w:rPr>
          <w:color w:val="000000"/>
          <w:w w:val="100"/>
        </w:rPr>
      </w:pPr>
      <w:bookmarkStart w:id="702" w:name="_DV_LD0"/>
      <w:bookmarkStart w:id="703" w:name="_DV_C221"/>
      <w:bookmarkEnd w:id="701"/>
      <w:r>
        <w:rPr>
          <w:rStyle w:val="DeltaViewDeletion"/>
          <w:w w:val="100"/>
        </w:rPr>
        <w:t xml:space="preserve">10. </w:t>
      </w:r>
      <w:bookmarkStart w:id="704" w:name="_DV_M448"/>
      <w:bookmarkEnd w:id="702"/>
      <w:bookmarkEnd w:id="703"/>
      <w:bookmarkEnd w:id="704"/>
      <w:r>
        <w:rPr>
          <w:color w:val="000000"/>
          <w:w w:val="100"/>
        </w:rPr>
        <w:t>To our knowledge, the Company is not a party to any pending or overtly threatened action or proceeding that (a) may adversely affect the transactions contemplated by the Agreement or the Related Agreements, or (b) if determined adversely, involve the reasonable possibility of having a Material Adverse Effect.</w:t>
      </w:r>
    </w:p>
    <w:p>
      <w:pPr>
        <w:pStyle w:val="Normal"/>
        <w:ind w:firstLine="720" w:end="0"/>
        <w:jc w:val="both"/>
        <w:rPr>
          <w:color w:val="000000"/>
          <w:w w:val="100"/>
        </w:rPr>
      </w:pPr>
      <w:bookmarkStart w:id="705" w:name="_DV_M449"/>
      <w:bookmarkEnd w:id="705"/>
      <w:r>
        <w:rPr>
          <w:color w:val="000000"/>
          <w:w w:val="100"/>
        </w:rPr>
        <w:t>This opinion letter is delivered to you in connection with the transactions contemplated by the Agreement and may not be furnished to or used or relied upon by you or any other person or entity for any other purpose without our prior written consent.  This letter may not be quoted, circulated or published, in whole or in part, or referred to in any fashion, or furnished to or relied upon by any other party, or otherwise referred to, without our prior written consent.</w:t>
      </w:r>
    </w:p>
    <w:p>
      <w:pPr>
        <w:pStyle w:val="Normal"/>
        <w:jc w:val="both"/>
        <w:rPr>
          <w:color w:val="000000"/>
          <w:w w:val="100"/>
        </w:rPr>
      </w:pPr>
      <w:r>
        <w:rPr>
          <w:color w:val="000000"/>
          <w:w w:val="100"/>
        </w:rPr>
      </w:r>
    </w:p>
    <w:p>
      <w:pPr>
        <w:pStyle w:val="Normal"/>
        <w:jc w:val="both"/>
        <w:rPr>
          <w:color w:val="000000"/>
          <w:w w:val="100"/>
        </w:rPr>
      </w:pPr>
      <w:bookmarkStart w:id="706" w:name="_DV_M450"/>
      <w:bookmarkEnd w:id="706"/>
      <w:r>
        <w:rPr>
          <w:color w:val="000000"/>
          <w:w w:val="100"/>
        </w:rPr>
        <w:tab/>
        <w:tab/>
        <w:tab/>
        <w:tab/>
        <w:tab/>
        <w:tab/>
        <w:tab/>
        <w:t>Very truly yours,</w:t>
      </w:r>
    </w:p>
    <w:p>
      <w:pPr>
        <w:pStyle w:val="Normal"/>
        <w:jc w:val="both"/>
        <w:rPr>
          <w:color w:val="000000"/>
          <w:w w:val="100"/>
        </w:rPr>
      </w:pPr>
      <w:r>
        <w:rPr>
          <w:color w:val="000000"/>
          <w:w w:val="100"/>
        </w:rPr>
      </w:r>
    </w:p>
    <w:p>
      <w:pPr>
        <w:pStyle w:val="Normal"/>
        <w:jc w:val="both"/>
        <w:rPr>
          <w:color w:val="000000"/>
          <w:w w:val="100"/>
        </w:rPr>
      </w:pPr>
      <w:r>
        <w:rPr>
          <w:color w:val="000000"/>
          <w:w w:val="100"/>
        </w:rPr>
      </w:r>
    </w:p>
    <w:p>
      <w:pPr>
        <w:pStyle w:val="Normal"/>
        <w:jc w:val="both"/>
        <w:rPr>
          <w:color w:val="000000"/>
          <w:w w:val="100"/>
        </w:rPr>
      </w:pPr>
      <w:r>
        <w:rPr>
          <w:color w:val="000000"/>
          <w:w w:val="100"/>
        </w:rPr>
      </w:r>
    </w:p>
    <w:p>
      <w:pPr>
        <w:pStyle w:val="Normal"/>
        <w:jc w:val="both"/>
        <w:rPr>
          <w:color w:val="000000"/>
          <w:w w:val="100"/>
        </w:rPr>
      </w:pPr>
      <w:bookmarkStart w:id="707" w:name="_DV_M451"/>
      <w:bookmarkEnd w:id="707"/>
      <w:r>
        <w:rPr>
          <w:color w:val="000000"/>
          <w:w w:val="100"/>
        </w:rPr>
        <w:tab/>
        <w:tab/>
        <w:tab/>
        <w:tab/>
        <w:tab/>
        <w:tab/>
        <w:tab/>
        <w:t>[Morrison, &amp; Foerster LLP]</w:t>
      </w:r>
    </w:p>
    <w:p>
      <w:pPr>
        <w:pStyle w:val="Normal"/>
        <w:jc w:val="both"/>
        <w:rPr>
          <w:color w:val="000000"/>
          <w:w w:val="100"/>
        </w:rPr>
      </w:pPr>
      <w:r>
        <w:rPr>
          <w:color w:val="000000"/>
          <w:w w:val="100"/>
        </w:rPr>
      </w:r>
    </w:p>
    <w:p>
      <w:pPr>
        <w:pStyle w:val="Normal"/>
        <w:rPr>
          <w:color w:val="000000"/>
          <w:w w:val="100"/>
        </w:rPr>
      </w:pPr>
      <w:r>
        <w:rPr>
          <w:color w:val="000000"/>
          <w:w w:val="100"/>
        </w:rPr>
      </w:r>
    </w:p>
    <w:sectPr>
      <w:headerReference w:type="default" r:id="rId16"/>
      <w:headerReference w:type="first" r:id="rId17"/>
      <w:footerReference w:type="default" r:id="rId18"/>
      <w:footerReference w:type="first" r:id="rId19"/>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altName w:val="Times New Roman"/>
    <w:charset w:val="00" w:characterSet="windows-1252"/>
    <w:family w:val="roma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lang w:val="en-CA" w:eastAsia="en-CA"/>
      </w:rPr>
      <w:t>474812v1</w:t>
    </w:r>
  </w:p>
  <w:p>
    <w:pPr>
      <w:pStyle w:val="Footer"/>
      <w:rPr/>
    </w:pPr>
    <w:r>
      <w:rPr>
        <w:rStyle w:val="VEDocumentInformation"/>
        <w:lang w:val="en-CA" w:eastAsia="en-CA"/>
      </w:rPr>
      <w:t>DMSWORK2_HOU_Houston_459043_</w:t>
    </w:r>
    <w:bookmarkStart w:id="9" w:name="_DV_C3"/>
    <w:r>
      <w:rPr>
        <w:rStyle w:val="DeltaViewDeletion"/>
        <w:sz w:val="16"/>
        <w:szCs w:val="16"/>
        <w:lang w:val="en-CA" w:eastAsia="en-CA"/>
      </w:rPr>
      <w:t>3.</w:t>
    </w:r>
    <w:bookmarkStart w:id="10" w:name="_DV_C4"/>
    <w:bookmarkEnd w:id="9"/>
    <w:r>
      <w:rPr>
        <w:rStyle w:val="DeltaViewInsertion"/>
        <w:sz w:val="16"/>
        <w:szCs w:val="16"/>
        <w:lang w:val="en-CA" w:eastAsia="en-CA"/>
      </w:rPr>
      <w:t>4.</w:t>
    </w:r>
    <w:bookmarkEnd w:id="10"/>
    <w:r>
      <w:rPr>
        <w:rStyle w:val="VEDocumentInformation"/>
        <w:color w:val="000000"/>
        <w:lang w:val="en-CA" w:eastAsia="en-CA"/>
      </w:rPr>
      <w:t>DOC</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tLeast" w:line="1"/>
      <w:rPr/>
    </w:pPr>
    <w:r>
      <w:rPr>
        <w:rStyle w:val="VEDocumentInformation"/>
        <w:lang w:val="en-CA" w:eastAsia="en-CA"/>
      </w:rPr>
      <w:t>474812v1</w:t>
    </w:r>
    <w:r>
      <mc:AlternateContent>
        <mc:Choice Requires="wps">
          <w:drawing>
            <wp:anchor behindDoc="0" distT="0" distB="0" distL="0" distR="0" simplePos="0" locked="0" layoutInCell="0" allowOverlap="1" relativeHeight="27">
              <wp:simplePos x="0" y="0"/>
              <wp:positionH relativeFrom="margin">
                <wp:align>center</wp:align>
              </wp:positionH>
              <wp:positionV relativeFrom="paragraph">
                <wp:posOffset>635</wp:posOffset>
              </wp:positionV>
              <wp:extent cx="1276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276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iii</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3.8pt;mso-wrap-distance-left:0pt;mso-wrap-distance-right:0pt;mso-wrap-distance-top:0pt;mso-wrap-distance-bottom:0pt;margin-top:0.05pt;mso-position-vertical-relative:text;margin-left:229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iii</w:t>
                    </w:r>
                    <w:r>
                      <w:rPr>
                        <w:rStyle w:val="PageNumber"/>
                      </w:rPr>
                      <w:fldChar w:fldCharType="end"/>
                    </w:r>
                  </w:p>
                </w:txbxContent>
              </v:textbox>
              <w10:wrap type="square"/>
            </v:rect>
          </w:pict>
        </mc:Fallback>
      </mc:AlternateContent>
    </w:r>
  </w:p>
  <w:p>
    <w:pPr>
      <w:pStyle w:val="Footer"/>
      <w:spacing w:lineRule="atLeast" w:line="1"/>
      <w:rPr/>
    </w:pPr>
    <w:r>
      <w:rPr>
        <w:rStyle w:val="VEDocumentInformation"/>
        <w:lang w:val="en-CA" w:eastAsia="en-CA"/>
      </w:rPr>
      <w:t>DMSWORK2_HOU_Houston_459043_</w:t>
    </w:r>
    <w:bookmarkStart w:id="191" w:name="_DV_C6"/>
    <w:r>
      <w:rPr>
        <w:rStyle w:val="DeltaViewDeletion"/>
        <w:sz w:val="16"/>
        <w:szCs w:val="16"/>
        <w:lang w:val="en-CA" w:eastAsia="en-CA"/>
      </w:rPr>
      <w:t>3.</w:t>
    </w:r>
    <w:bookmarkStart w:id="192" w:name="_DV_C7"/>
    <w:bookmarkEnd w:id="191"/>
    <w:r>
      <w:rPr>
        <w:rStyle w:val="DeltaViewInsertion"/>
        <w:sz w:val="16"/>
        <w:szCs w:val="16"/>
        <w:lang w:val="en-CA" w:eastAsia="en-CA"/>
      </w:rPr>
      <w:t>4.</w:t>
    </w:r>
    <w:bookmarkEnd w:id="192"/>
    <w:r>
      <w:rPr>
        <w:rStyle w:val="VEDocumentInformation"/>
        <w:color w:val="000000"/>
        <w:lang w:val="en-CA" w:eastAsia="en-CA"/>
      </w:rPr>
      <w:t>DOC</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tLeast" w:line="1"/>
      <w:rPr/>
    </w:pPr>
    <w:r>
      <w:rPr>
        <w:rStyle w:val="VEDocumentInformation"/>
        <w:lang w:val="en-CA" w:eastAsia="en-CA"/>
      </w:rPr>
      <w:t>474812v1</w:t>
    </w:r>
    <w:r>
      <mc:AlternateContent>
        <mc:Choice Requires="wps">
          <w:drawing>
            <wp:anchor behindDoc="0" distT="0" distB="0" distL="0" distR="0" simplePos="0" locked="0" layoutInCell="0" allowOverlap="1" relativeHeight="25">
              <wp:simplePos x="0" y="0"/>
              <wp:positionH relativeFrom="margin">
                <wp:align>center</wp:align>
              </wp:positionH>
              <wp:positionV relativeFrom="paragraph">
                <wp:posOffset>635</wp:posOffset>
              </wp:positionV>
              <wp:extent cx="153035" cy="175260"/>
              <wp:effectExtent l="0" t="0" r="0" b="0"/>
              <wp:wrapSquare wrapText="bothSides"/>
              <wp:docPr id="3" name="Frame2"/>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txbxContent>
              </v:textbox>
              <w10:wrap type="square"/>
            </v:rect>
          </w:pict>
        </mc:Fallback>
      </mc:AlternateContent>
    </w:r>
  </w:p>
  <w:p>
    <w:pPr>
      <w:pStyle w:val="Footer"/>
      <w:spacing w:lineRule="atLeast" w:line="1"/>
      <w:rPr/>
    </w:pPr>
    <w:r>
      <w:rPr>
        <w:rStyle w:val="VEDocumentInformation"/>
        <w:lang w:val="en-CA" w:eastAsia="en-CA"/>
      </w:rPr>
      <w:t>DMSWORK2_HOU_Houston_459043_</w:t>
    </w:r>
    <w:bookmarkStart w:id="645" w:name="_DV_C56"/>
    <w:r>
      <w:rPr>
        <w:rStyle w:val="DeltaViewDeletion"/>
        <w:sz w:val="16"/>
        <w:szCs w:val="16"/>
        <w:lang w:val="en-CA" w:eastAsia="en-CA"/>
      </w:rPr>
      <w:t>3.</w:t>
    </w:r>
    <w:bookmarkStart w:id="646" w:name="_DV_C57"/>
    <w:bookmarkEnd w:id="645"/>
    <w:r>
      <w:rPr>
        <w:rStyle w:val="DeltaViewInsertion"/>
        <w:sz w:val="16"/>
        <w:szCs w:val="16"/>
        <w:lang w:val="en-CA" w:eastAsia="en-CA"/>
      </w:rPr>
      <w:t>4.</w:t>
    </w:r>
    <w:bookmarkEnd w:id="646"/>
    <w:r>
      <w:rPr>
        <w:rStyle w:val="VEDocumentInformation"/>
        <w:color w:val="000000"/>
        <w:lang w:val="en-CA" w:eastAsia="en-CA"/>
      </w:rPr>
      <w:t>DOC</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tLeast" w:line="1"/>
      <w:rPr/>
    </w:pPr>
    <w:r>
      <w:rPr>
        <w:rStyle w:val="VEDocumentInformation"/>
        <w:lang w:val="en-CA" w:eastAsia="en-CA"/>
      </w:rPr>
      <w:t>474812v1</w:t>
    </w:r>
  </w:p>
  <w:p>
    <w:pPr>
      <w:pStyle w:val="Footer"/>
      <w:spacing w:lineRule="atLeast" w:line="1"/>
      <w:rPr/>
    </w:pPr>
    <w:r>
      <w:rPr>
        <w:rStyle w:val="VEDocumentInformation"/>
        <w:lang w:val="en-CA" w:eastAsia="en-CA"/>
      </w:rPr>
      <w:t>DMSWORK2_HOU_Houston_459043_</w:t>
    </w:r>
    <w:bookmarkStart w:id="647" w:name="_DV_C58"/>
    <w:r>
      <w:rPr>
        <w:rStyle w:val="DeltaViewDeletion"/>
        <w:sz w:val="16"/>
        <w:szCs w:val="16"/>
        <w:lang w:val="en-CA" w:eastAsia="en-CA"/>
      </w:rPr>
      <w:t>3.</w:t>
    </w:r>
    <w:bookmarkStart w:id="648" w:name="_DV_C59"/>
    <w:bookmarkEnd w:id="647"/>
    <w:r>
      <w:rPr>
        <w:rStyle w:val="DeltaViewInsertion"/>
        <w:sz w:val="16"/>
        <w:szCs w:val="16"/>
        <w:lang w:val="en-CA" w:eastAsia="en-CA"/>
      </w:rPr>
      <w:t>4.</w:t>
    </w:r>
    <w:bookmarkEnd w:id="648"/>
    <w:r>
      <w:rPr>
        <w:rStyle w:val="VEDocumentInformation"/>
        <w:color w:val="000000"/>
        <w:lang w:val="en-CA" w:eastAsia="en-CA"/>
      </w:rPr>
      <w:t>DOC</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tLeast" w:line="1"/>
      <w:rPr/>
    </w:pPr>
    <w:r>
      <w:rPr>
        <w:rStyle w:val="VEDocumentInformation"/>
        <w:lang w:val="en-CA" w:eastAsia="en-CA"/>
      </w:rPr>
      <w:t>474812v1</w:t>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4" name="Frame3"/>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p>
    <w:pPr>
      <w:pStyle w:val="Footer"/>
      <w:spacing w:lineRule="atLeast" w:line="1"/>
      <w:rPr/>
    </w:pPr>
    <w:r>
      <w:rPr>
        <w:rStyle w:val="VEDocumentInformation"/>
        <w:lang w:val="en-CA" w:eastAsia="en-CA"/>
      </w:rPr>
      <w:t>DMSWORK2_HOU_Houston_459043_</w:t>
    </w:r>
    <w:r>
      <w:rPr>
        <w:rStyle w:val="DeltaViewDeletion"/>
        <w:sz w:val="16"/>
        <w:szCs w:val="16"/>
        <w:lang w:val="en-CA" w:eastAsia="en-CA"/>
      </w:rPr>
      <w:t>3.</w:t>
    </w:r>
    <w:r>
      <w:rPr>
        <w:rStyle w:val="DeltaViewInsertion"/>
        <w:sz w:val="16"/>
        <w:szCs w:val="16"/>
        <w:lang w:val="en-CA" w:eastAsia="en-CA"/>
      </w:rPr>
      <w:t>4.</w:t>
    </w:r>
    <w:r>
      <w:rPr>
        <w:rStyle w:val="VEDocumentInformation"/>
        <w:color w:val="000000"/>
        <w:lang w:val="en-CA" w:eastAsia="en-CA"/>
      </w:rPr>
      <w:t>DOC</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tLeast" w:line="1"/>
      <w:rPr/>
    </w:pPr>
    <w:r>
      <w:rPr>
        <w:rStyle w:val="VEDocumentInformation"/>
        <w:lang w:val="en-CA" w:eastAsia="en-CA"/>
      </w:rPr>
      <w:t>474812v1</w:t>
    </w:r>
  </w:p>
  <w:p>
    <w:pPr>
      <w:pStyle w:val="Footer"/>
      <w:spacing w:lineRule="atLeast" w:line="1"/>
      <w:rPr/>
    </w:pPr>
    <w:r>
      <w:rPr>
        <w:rStyle w:val="VEDocumentInformation"/>
        <w:lang w:val="en-CA" w:eastAsia="en-CA"/>
      </w:rPr>
      <w:t>DMSWORK2_HOU_Houston_459043_</w:t>
    </w:r>
    <w:bookmarkStart w:id="658" w:name="_DV_C199"/>
    <w:r>
      <w:rPr>
        <w:rStyle w:val="DeltaViewDeletion"/>
        <w:sz w:val="16"/>
        <w:szCs w:val="16"/>
        <w:lang w:val="en-CA" w:eastAsia="en-CA"/>
      </w:rPr>
      <w:t>3.</w:t>
    </w:r>
    <w:bookmarkStart w:id="659" w:name="_DV_C200"/>
    <w:bookmarkEnd w:id="658"/>
    <w:r>
      <w:rPr>
        <w:rStyle w:val="DeltaViewInsertion"/>
        <w:sz w:val="16"/>
        <w:szCs w:val="16"/>
        <w:lang w:val="en-CA" w:eastAsia="en-CA"/>
      </w:rPr>
      <w:t>4.</w:t>
    </w:r>
    <w:bookmarkEnd w:id="659"/>
    <w:r>
      <w:rPr>
        <w:rStyle w:val="VEDocumentInformation"/>
        <w:color w:val="000000"/>
        <w:lang w:val="en-CA" w:eastAsia="en-CA"/>
      </w:rPr>
      <w:t>DOC</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tLeast" w:line="1"/>
      <w:rPr>
        <w:rStyle w:val="VEDocumentInformation"/>
        <w:color w:val="000000"/>
        <w:lang w:val="en-CA" w:eastAsia="en-CA"/>
      </w:rPr>
    </w:pPr>
    <w:r>
      <w:rPr>
        <w:rStyle w:val="VEDocumentInformation"/>
        <w:lang w:val="en-CA" w:eastAsia="en-CA"/>
      </w:rPr>
      <w:t>474812v1</w:t>
    </w:r>
    <w:r>
      <mc:AlternateContent>
        <mc:Choice Requires="wps">
          <w:drawing>
            <wp:anchor behindDoc="0" distT="0" distB="0" distL="0" distR="0" simplePos="0" locked="0" layoutInCell="0" allowOverlap="1" relativeHeight="30">
              <wp:simplePos x="0" y="0"/>
              <wp:positionH relativeFrom="margin">
                <wp:align>center</wp:align>
              </wp:positionH>
              <wp:positionV relativeFrom="paragraph">
                <wp:posOffset>635</wp:posOffset>
              </wp:positionV>
              <wp:extent cx="313055" cy="175260"/>
              <wp:effectExtent l="0" t="0" r="0" b="0"/>
              <wp:wrapSquare wrapText="bothSides"/>
              <wp:docPr id="5" name="Frame4"/>
              <a:graphic xmlns:a="http://schemas.openxmlformats.org/drawingml/2006/main">
                <a:graphicData uri="http://schemas.microsoft.com/office/word/2010/wordprocessingShape">
                  <wps:wsp>
                    <wps:cNvSpPr txBox="1"/>
                    <wps:spPr>
                      <a:xfrm>
                        <a:off x="0" y="0"/>
                        <a:ext cx="313055" cy="175260"/>
                      </a:xfrm>
                      <a:prstGeom prst="rect"/>
                      <a:solidFill>
                        <a:srgbClr val="FFFFFF">
                          <a:alpha val="0"/>
                        </a:srgbClr>
                      </a:solidFill>
                    </wps:spPr>
                    <wps:txbx>
                      <w:txbxContent>
                        <w:p>
                          <w:pPr>
                            <w:pStyle w:val="Footer"/>
                            <w:rPr>
                              <w:rStyle w:val="PageNumber"/>
                              <w:color w:val="000000"/>
                            </w:rPr>
                          </w:pPr>
                          <w:bookmarkStart w:id="708" w:name="_DV_C201"/>
                          <w:r>
                            <w:rPr>
                              <w:rStyle w:val="DeltaViewDeletion"/>
                            </w:rPr>
                            <w:t>F</w:t>
                          </w:r>
                          <w:bookmarkStart w:id="709" w:name="_DV_C202"/>
                          <w:bookmarkEnd w:id="708"/>
                          <w:r>
                            <w:rPr>
                              <w:rStyle w:val="DeltaViewInsertion"/>
                            </w:rPr>
                            <w:t>B</w:t>
                          </w:r>
                          <w:bookmarkEnd w:id="709"/>
                          <w:r>
                            <w:rPr>
                              <w:rStyle w:val="PageNumber"/>
                              <w:color w:val="000000"/>
                            </w:rPr>
                            <w:t>-</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24.65pt;height:13.8pt;mso-wrap-distance-left:0pt;mso-wrap-distance-right:0pt;mso-wrap-distance-top:0pt;mso-wrap-distance-bottom:0pt;margin-top:0.05pt;mso-position-vertical-relative:text;margin-left:221.7pt;mso-position-horizontal:center;mso-position-horizontal-relative:margin">
              <v:fill opacity="0f"/>
              <v:textbox inset="0in,0in,0in,0in">
                <w:txbxContent>
                  <w:p>
                    <w:pPr>
                      <w:pStyle w:val="Footer"/>
                      <w:rPr>
                        <w:rStyle w:val="PageNumber"/>
                        <w:color w:val="000000"/>
                      </w:rPr>
                    </w:pPr>
                    <w:bookmarkStart w:id="710" w:name="_DV_C201"/>
                    <w:r>
                      <w:rPr>
                        <w:rStyle w:val="DeltaViewDeletion"/>
                      </w:rPr>
                      <w:t>F</w:t>
                    </w:r>
                    <w:bookmarkStart w:id="711" w:name="_DV_C202"/>
                    <w:bookmarkEnd w:id="710"/>
                    <w:r>
                      <w:rPr>
                        <w:rStyle w:val="DeltaViewInsertion"/>
                      </w:rPr>
                      <w:t>B</w:t>
                    </w:r>
                    <w:bookmarkEnd w:id="711"/>
                    <w:r>
                      <w:rPr>
                        <w:rStyle w:val="PageNumber"/>
                        <w:color w:val="000000"/>
                      </w:rPr>
                      <w:t>-</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p>
    <w:pPr>
      <w:pStyle w:val="Footer"/>
      <w:spacing w:lineRule="atLeast" w:line="1"/>
      <w:rPr/>
    </w:pPr>
    <w:r>
      <w:rPr>
        <w:rStyle w:val="VEDocumentInformation"/>
        <w:color w:val="000000"/>
        <w:lang w:val="en-CA" w:eastAsia="en-CA"/>
      </w:rPr>
      <w:t>DMSWORK2_HOU_Houston_459043_</w:t>
    </w:r>
    <w:bookmarkStart w:id="712" w:name="_DV_C203"/>
    <w:r>
      <w:rPr>
        <w:rStyle w:val="DeltaViewDeletion"/>
        <w:sz w:val="16"/>
        <w:szCs w:val="16"/>
        <w:lang w:val="en-CA" w:eastAsia="en-CA"/>
      </w:rPr>
      <w:t>3.</w:t>
    </w:r>
    <w:bookmarkStart w:id="713" w:name="_DV_C204"/>
    <w:bookmarkEnd w:id="712"/>
    <w:r>
      <w:rPr>
        <w:rStyle w:val="DeltaViewInsertion"/>
        <w:sz w:val="16"/>
        <w:szCs w:val="16"/>
        <w:lang w:val="en-CA" w:eastAsia="en-CA"/>
      </w:rPr>
      <w:t>4.</w:t>
    </w:r>
    <w:bookmarkEnd w:id="713"/>
    <w:r>
      <w:rPr>
        <w:rStyle w:val="VEDocumentInformation"/>
        <w:color w:val="000000"/>
        <w:lang w:val="en-CA" w:eastAsia="en-CA"/>
      </w:rPr>
      <w:t>DOC</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end"/>
      <w:rPr>
        <w:b/>
        <w:bCs/>
      </w:rPr>
    </w:pPr>
    <w:r>
      <w:rPr>
        <w:b/>
        <w:bCs/>
      </w:rPr>
      <w:t>Enron version</w:t>
    </w:r>
  </w:p>
  <w:p>
    <w:pPr>
      <w:pStyle w:val="Normal"/>
      <w:jc w:val="end"/>
      <w:rPr/>
    </w:pPr>
    <w:r>
      <w:rPr>
        <w:b/>
        <w:bCs/>
      </w:rPr>
      <w:t>02/</w:t>
    </w:r>
    <w:bookmarkStart w:id="7" w:name="_DV_C1"/>
    <w:r>
      <w:rPr>
        <w:rStyle w:val="DeltaViewDeletion"/>
        <w:b/>
        <w:bCs/>
      </w:rPr>
      <w:t>07</w:t>
    </w:r>
    <w:bookmarkStart w:id="8" w:name="_DV_C2"/>
    <w:bookmarkEnd w:id="7"/>
    <w:r>
      <w:rPr>
        <w:rStyle w:val="DeltaViewInsertion"/>
      </w:rPr>
      <w:t>22</w:t>
    </w:r>
    <w:bookmarkEnd w:id="8"/>
    <w:r>
      <w:rPr>
        <w:b/>
        <w:bCs/>
        <w:color w:val="000000"/>
      </w:rPr>
      <w:t>/01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360"/>
        </w:tabs>
        <w:ind w:start="0" w:hanging="0"/>
      </w:pPr>
      <w:rPr>
        <w:spacing w:val="0"/>
      </w:rPr>
    </w:lvl>
    <w:lvl w:ilvl="1">
      <w:start w:val="1"/>
      <w:pStyle w:val="Heading2"/>
      <w:numFmt w:val="decimal"/>
      <w:lvlText w:val="%1.%2"/>
      <w:lvlJc w:val="start"/>
      <w:pPr>
        <w:tabs>
          <w:tab w:val="num" w:pos="360"/>
        </w:tabs>
        <w:ind w:start="0" w:hanging="0"/>
      </w:pPr>
      <w:rPr>
        <w:spacing w:val="0"/>
      </w:rPr>
    </w:lvl>
    <w:lvl w:ilvl="2">
      <w:start w:val="1"/>
      <w:pStyle w:val="Heading3"/>
      <w:numFmt w:val="lowerLetter"/>
      <w:lvlText w:val="(%3)"/>
      <w:lvlJc w:val="start"/>
      <w:pPr>
        <w:tabs>
          <w:tab w:val="num" w:pos="360"/>
        </w:tabs>
        <w:ind w:start="0" w:hanging="0"/>
      </w:pPr>
      <w:rPr>
        <w:spacing w:val="0"/>
      </w:rPr>
    </w:lvl>
    <w:lvl w:ilvl="3">
      <w:start w:val="1"/>
      <w:pStyle w:val="Heading4"/>
      <w:numFmt w:val="lowerRoman"/>
      <w:lvlText w:val="(%4)"/>
      <w:lvlJc w:val="start"/>
      <w:pPr>
        <w:tabs>
          <w:tab w:val="num" w:pos="720"/>
        </w:tabs>
        <w:ind w:start="0" w:hanging="0"/>
      </w:pPr>
      <w:rPr>
        <w:spacing w:val="0"/>
      </w:rPr>
    </w:lvl>
    <w:lvl w:ilvl="4">
      <w:start w:val="1"/>
      <w:pStyle w:val="Heading5"/>
      <w:numFmt w:val="upperLetter"/>
      <w:lvlText w:val="(%5)"/>
      <w:lvlJc w:val="start"/>
      <w:pPr>
        <w:tabs>
          <w:tab w:val="num" w:pos="360"/>
        </w:tabs>
        <w:ind w:start="0" w:hanging="0"/>
      </w:pPr>
      <w:rPr>
        <w:spacing w:val="0"/>
      </w:rPr>
    </w:lvl>
    <w:lvl w:ilvl="5">
      <w:start w:val="1"/>
      <w:numFmt w:val="decimal"/>
      <w:lvlText w:val="%1.%2.%3.%4.%5.%6."/>
      <w:lvlJc w:val="start"/>
      <w:pPr>
        <w:tabs>
          <w:tab w:val="num" w:pos="2880"/>
        </w:tabs>
        <w:ind w:start="2736" w:hanging="936"/>
      </w:pPr>
      <w:rPr>
        <w:spacing w:val="0"/>
      </w:rPr>
    </w:lvl>
    <w:lvl w:ilvl="6">
      <w:start w:val="1"/>
      <w:numFmt w:val="decimal"/>
      <w:lvlText w:val="%1.%2.%3.%4.%5.%6.%7."/>
      <w:lvlJc w:val="start"/>
      <w:pPr>
        <w:tabs>
          <w:tab w:val="num" w:pos="3600"/>
        </w:tabs>
        <w:ind w:start="3240" w:hanging="1080"/>
      </w:pPr>
      <w:rPr>
        <w:spacing w:val="0"/>
      </w:rPr>
    </w:lvl>
    <w:lvl w:ilvl="7">
      <w:start w:val="1"/>
      <w:numFmt w:val="decimal"/>
      <w:lvlText w:val="%1.%2.%3.%4.%5.%6.%7.%38%8."/>
      <w:lvlJc w:val="start"/>
      <w:pPr>
        <w:tabs>
          <w:tab w:val="num" w:pos="3960"/>
        </w:tabs>
        <w:ind w:start="3744" w:hanging="1224"/>
      </w:pPr>
      <w:rPr>
        <w:spacing w:val="0"/>
      </w:rPr>
    </w:lvl>
    <w:lvl w:ilvl="8">
      <w:start w:val="1"/>
      <w:numFmt w:val="decimal"/>
      <w:lvlText w:val="%1.%2.%3.%4.%5.%6.%738%38%.%8.%9."/>
      <w:lvlJc w:val="start"/>
      <w:pPr>
        <w:tabs>
          <w:tab w:val="num" w:pos="4680"/>
        </w:tabs>
        <w:ind w:start="4320" w:hanging="1440"/>
      </w:pPr>
      <w:rPr>
        <w:spacing w:val="0"/>
      </w:rPr>
    </w:lvl>
  </w:abstractNum>
  <w:abstractNum w:abstractNumId="2">
    <w:lvl w:ilvl="0">
      <w:start w:val="1"/>
      <w:numFmt w:val="upperRoman"/>
      <w:suff w:val="nothing"/>
      <w:lvlText w:val="%1."/>
      <w:lvlJc w:val="start"/>
      <w:pPr>
        <w:tabs>
          <w:tab w:val="num" w:pos="0"/>
        </w:tabs>
        <w:ind w:start="0" w:hanging="0"/>
      </w:pPr>
      <w:rPr>
        <w:sz w:val="28"/>
        <w:spacing w:val="0"/>
        <w:i w:val="false"/>
        <w:b/>
        <w:szCs w:val="28"/>
      </w:rPr>
    </w:lvl>
    <w:lvl w:ilvl="1">
      <w:start w:val="1"/>
      <w:numFmt w:val="upperLetter"/>
      <w:lvlText w:val="%2."/>
      <w:lvlJc w:val="start"/>
      <w:pPr>
        <w:tabs>
          <w:tab w:val="num" w:pos="1440"/>
        </w:tabs>
        <w:ind w:start="1440" w:hanging="720"/>
      </w:pPr>
      <w:rPr>
        <w:sz w:val="24"/>
        <w:spacing w:val="0"/>
        <w:i w:val="false"/>
        <w:b w:val="false"/>
        <w:szCs w:val="24"/>
        <w:rFonts w:ascii="Times New Roman" w:hAnsi="Times New Roman" w:cs="Times New Roman"/>
      </w:rPr>
    </w:lvl>
    <w:lvl w:ilvl="2">
      <w:start w:val="1"/>
      <w:numFmt w:val="decimal"/>
      <w:lvlText w:val="%3."/>
      <w:lvlJc w:val="start"/>
      <w:pPr>
        <w:tabs>
          <w:tab w:val="num" w:pos="2160"/>
        </w:tabs>
        <w:ind w:start="2160" w:hanging="720"/>
      </w:pPr>
      <w:rPr>
        <w:spacing w:val="0"/>
      </w:rPr>
    </w:lvl>
    <w:lvl w:ilvl="3">
      <w:start w:val="1"/>
      <w:numFmt w:val="lowerLetter"/>
      <w:lvlText w:val="(%4)"/>
      <w:lvlJc w:val="start"/>
      <w:pPr>
        <w:tabs>
          <w:tab w:val="num" w:pos="2520"/>
        </w:tabs>
        <w:ind w:start="0" w:firstLine="2160"/>
      </w:pPr>
      <w:rPr>
        <w:spacing w:val="0"/>
      </w:rPr>
    </w:lvl>
    <w:lvl w:ilvl="4">
      <w:start w:val="1"/>
      <w:numFmt w:val="lowerRoman"/>
      <w:lvlText w:val="(%5)"/>
      <w:lvlJc w:val="start"/>
      <w:pPr>
        <w:tabs>
          <w:tab w:val="num" w:pos="3600"/>
        </w:tabs>
        <w:ind w:start="3600" w:hanging="720"/>
      </w:pPr>
      <w:rPr>
        <w:spacing w:val="0"/>
      </w:rPr>
    </w:lvl>
    <w:lvl w:ilvl="5">
      <w:start w:val="1"/>
      <w:numFmt w:val="lowerLetter"/>
      <w:lvlText w:val="(%6)"/>
      <w:lvlJc w:val="start"/>
      <w:pPr>
        <w:tabs>
          <w:tab w:val="num" w:pos="3960"/>
        </w:tabs>
        <w:ind w:start="3600" w:hanging="0"/>
      </w:pPr>
      <w:rPr>
        <w:spacing w:val="0"/>
      </w:rPr>
    </w:lvl>
    <w:lvl w:ilvl="6">
      <w:start w:val="1"/>
      <w:numFmt w:val="lowerRoman"/>
      <w:lvlText w:val="(%7)"/>
      <w:lvlJc w:val="start"/>
      <w:pPr>
        <w:tabs>
          <w:tab w:val="num" w:pos="4680"/>
        </w:tabs>
        <w:ind w:start="4320" w:hanging="0"/>
      </w:pPr>
      <w:rPr>
        <w:spacing w:val="0"/>
      </w:rPr>
    </w:lvl>
    <w:lvl w:ilvl="7">
      <w:start w:val="1"/>
      <w:numFmt w:val="lowerLetter"/>
      <w:lvlText w:val="(%8)"/>
      <w:lvlJc w:val="start"/>
      <w:pPr>
        <w:tabs>
          <w:tab w:val="num" w:pos="5400"/>
        </w:tabs>
        <w:ind w:start="5040" w:hanging="0"/>
      </w:pPr>
      <w:rPr>
        <w:spacing w:val="0"/>
      </w:rPr>
    </w:lvl>
    <w:lvl w:ilvl="8">
      <w:start w:val="1"/>
      <w:numFmt w:val="lowerRoman"/>
      <w:lvlText w:val="(%9)"/>
      <w:lvlJc w:val="start"/>
      <w:pPr>
        <w:tabs>
          <w:tab w:val="num" w:pos="6120"/>
        </w:tabs>
        <w:ind w:start="5760" w:hanging="0"/>
      </w:pPr>
      <w:rPr>
        <w:spacing w:val="0"/>
      </w:rPr>
    </w:lvl>
  </w:abstractNum>
  <w:abstractNum w:abstractNumId="3">
    <w:lvl w:ilvl="0">
      <w:start w:val="1"/>
      <w:numFmt w:val="decimal"/>
      <w:lvlText w:val="%1."/>
      <w:lvlJc w:val="start"/>
      <w:pPr>
        <w:tabs>
          <w:tab w:val="num" w:pos="1440"/>
        </w:tabs>
        <w:ind w:start="1440" w:hanging="720"/>
      </w:pPr>
      <w:rPr>
        <w:spacing w:val="0"/>
        <w:color w:val="000000"/>
      </w:rPr>
    </w:lvl>
  </w:abstractNum>
  <w:abstractNum w:abstractNumId="4">
    <w:lvl w:ilvl="0">
      <w:start w:val="1"/>
      <w:numFmt w:val="upperRoman"/>
      <w:suff w:val="nothing"/>
      <w:lvlText w:val="ARTICLE %1"/>
      <w:lvlJc w:val="start"/>
      <w:pPr>
        <w:tabs>
          <w:tab w:val="num" w:pos="0"/>
        </w:tabs>
        <w:ind w:start="0" w:hanging="0"/>
      </w:pPr>
      <w:rPr>
        <w:spacing w:val="0"/>
      </w:rPr>
    </w:lvl>
    <w:lvl w:ilvl="1">
      <w:start w:val="1"/>
      <w:isLgl/>
      <w:numFmt w:val="decimal"/>
      <w:lvlText w:val="%1.%2."/>
      <w:lvlJc w:val="start"/>
      <w:pPr>
        <w:tabs>
          <w:tab w:val="num" w:pos="360"/>
        </w:tabs>
        <w:ind w:start="0" w:hanging="0"/>
      </w:pPr>
      <w:rPr>
        <w:spacing w:val="0"/>
      </w:rPr>
    </w:lvl>
    <w:lvl w:ilvl="2">
      <w:start w:val="1"/>
      <w:numFmt w:val="lowerLetter"/>
      <w:lvlText w:val="(%3)"/>
      <w:lvlJc w:val="start"/>
      <w:pPr>
        <w:tabs>
          <w:tab w:val="num" w:pos="360"/>
        </w:tabs>
        <w:ind w:start="0" w:hanging="0"/>
      </w:pPr>
      <w:rPr>
        <w:spacing w:val="0"/>
      </w:rPr>
    </w:lvl>
    <w:lvl w:ilvl="3">
      <w:start w:val="1"/>
      <w:numFmt w:val="lowerRoman"/>
      <w:lvlText w:val="(%4)"/>
      <w:lvlJc w:val="start"/>
      <w:pPr>
        <w:tabs>
          <w:tab w:val="num" w:pos="720"/>
        </w:tabs>
        <w:ind w:start="0" w:hanging="0"/>
      </w:pPr>
      <w:rPr>
        <w:spacing w:val="0"/>
      </w:rPr>
    </w:lvl>
    <w:lvl w:ilvl="4">
      <w:start w:val="1"/>
      <w:numFmt w:val="upperLetter"/>
      <w:lvlText w:val="(%5)"/>
      <w:lvlJc w:val="start"/>
      <w:pPr>
        <w:tabs>
          <w:tab w:val="num" w:pos="360"/>
        </w:tabs>
        <w:ind w:start="0" w:hanging="0"/>
      </w:pPr>
      <w:rPr>
        <w:spacing w:val="0"/>
      </w:rPr>
    </w:lvl>
    <w:lvl w:ilvl="5">
      <w:start w:val="1"/>
      <w:numFmt w:val="decimal"/>
      <w:lvlText w:val="(%6)"/>
      <w:lvlJc w:val="start"/>
      <w:pPr>
        <w:tabs>
          <w:tab w:val="num" w:pos="360"/>
        </w:tabs>
        <w:ind w:start="0" w:hanging="0"/>
      </w:pPr>
      <w:rPr>
        <w:spacing w:val="0"/>
      </w:rPr>
    </w:lvl>
    <w:lvl w:ilvl="6">
      <w:start w:val="1"/>
      <w:numFmt w:val="decimal"/>
      <w:lvlText w:val="%1.%2.%3.%4.%5.%6.%7."/>
      <w:lvlJc w:val="start"/>
      <w:pPr>
        <w:tabs>
          <w:tab w:val="num" w:pos="3600"/>
        </w:tabs>
        <w:ind w:start="3240" w:hanging="1080"/>
      </w:pPr>
      <w:rPr>
        <w:spacing w:val="0"/>
      </w:rPr>
    </w:lvl>
    <w:lvl w:ilvl="7">
      <w:start w:val="1"/>
      <w:numFmt w:val="decimal"/>
      <w:lvlText w:val="%1.%2.%3.%4.%5.%6.%7.%38%8."/>
      <w:lvlJc w:val="start"/>
      <w:pPr>
        <w:tabs>
          <w:tab w:val="num" w:pos="3960"/>
        </w:tabs>
        <w:ind w:start="3744" w:hanging="1224"/>
      </w:pPr>
      <w:rPr>
        <w:spacing w:val="0"/>
      </w:rPr>
    </w:lvl>
    <w:lvl w:ilvl="8">
      <w:start w:val="1"/>
      <w:numFmt w:val="decimal"/>
      <w:lvlText w:val="%1.%2.%3.%4.%5.%6.%738%38%.%8.%9."/>
      <w:lvlJc w:val="start"/>
      <w:pPr>
        <w:tabs>
          <w:tab w:val="num" w:pos="4680"/>
        </w:tabs>
        <w:ind w:start="4320" w:hanging="1440"/>
      </w:pPr>
      <w:rPr>
        <w:spacing w:val="0"/>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docVars>
    <w:docVar w:name="trailer" w:val="Final"/>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autoSpaceDE w:val="false"/>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numPr>
        <w:ilvl w:val="0"/>
        <w:numId w:val="1"/>
      </w:numPr>
      <w:tabs>
        <w:tab w:val="clear" w:pos="720"/>
      </w:tabs>
      <w:spacing w:before="120" w:after="120"/>
      <w:ind w:firstLine="720" w:start="0" w:end="0"/>
      <w:outlineLvl w:val="0"/>
    </w:pPr>
    <w:rPr>
      <w:b/>
      <w:bCs/>
      <w:i/>
      <w:iCs/>
      <w:kern w:val="2"/>
      <w:u w:val="single"/>
    </w:rPr>
  </w:style>
  <w:style w:type="paragraph" w:styleId="Heading2">
    <w:name w:val="heading 2"/>
    <w:basedOn w:val="Normal"/>
    <w:next w:val="Normal"/>
    <w:qFormat/>
    <w:pPr>
      <w:numPr>
        <w:ilvl w:val="1"/>
        <w:numId w:val="1"/>
      </w:numPr>
      <w:tabs>
        <w:tab w:val="clear" w:pos="720"/>
      </w:tabs>
      <w:spacing w:before="120" w:after="120"/>
      <w:ind w:firstLine="1440" w:start="0" w:end="0"/>
      <w:jc w:val="both"/>
      <w:outlineLvl w:val="1"/>
    </w:pPr>
    <w:rPr>
      <w:b/>
      <w:bCs/>
      <w:i/>
      <w:iCs/>
      <w:u w:val="single"/>
    </w:rPr>
  </w:style>
  <w:style w:type="paragraph" w:styleId="Heading3">
    <w:name w:val="heading 3"/>
    <w:basedOn w:val="Normal"/>
    <w:next w:val="Normal"/>
    <w:qFormat/>
    <w:pPr>
      <w:numPr>
        <w:ilvl w:val="2"/>
        <w:numId w:val="1"/>
      </w:numPr>
      <w:tabs>
        <w:tab w:val="clear" w:pos="720"/>
      </w:tabs>
      <w:spacing w:before="120" w:after="120"/>
      <w:ind w:firstLine="2160" w:start="0" w:end="0"/>
      <w:jc w:val="both"/>
      <w:outlineLvl w:val="2"/>
    </w:pPr>
    <w:rPr/>
  </w:style>
  <w:style w:type="paragraph" w:styleId="Heading4">
    <w:name w:val="heading 4"/>
    <w:basedOn w:val="Normal"/>
    <w:next w:val="Normal"/>
    <w:qFormat/>
    <w:pPr>
      <w:numPr>
        <w:ilvl w:val="3"/>
        <w:numId w:val="1"/>
      </w:numPr>
      <w:tabs>
        <w:tab w:val="clear" w:pos="720"/>
      </w:tabs>
      <w:spacing w:before="120" w:after="120"/>
      <w:ind w:firstLine="2880" w:start="0" w:end="0"/>
      <w:outlineLvl w:val="3"/>
    </w:pPr>
    <w:rPr/>
  </w:style>
  <w:style w:type="paragraph" w:styleId="Heading5">
    <w:name w:val="heading 5"/>
    <w:basedOn w:val="Normal"/>
    <w:next w:val="Normal"/>
    <w:qFormat/>
    <w:pPr>
      <w:numPr>
        <w:ilvl w:val="4"/>
        <w:numId w:val="1"/>
      </w:numPr>
      <w:spacing w:before="120" w:after="120"/>
      <w:outlineLvl w:val="4"/>
    </w:pPr>
    <w:rPr/>
  </w:style>
  <w:style w:type="paragraph" w:styleId="Heading6">
    <w:name w:val="heading 6"/>
    <w:basedOn w:val="Normal"/>
    <w:next w:val="Normal"/>
    <w:qFormat/>
    <w:pPr>
      <w:numPr>
        <w:ilvl w:val="0"/>
        <w:numId w:val="4"/>
      </w:numPr>
      <w:spacing w:before="120" w:after="120"/>
      <w:outlineLvl w:val="5"/>
    </w:pPr>
    <w:rPr/>
  </w:style>
  <w:style w:type="paragraph" w:styleId="Heading7">
    <w:name w:val="heading 7"/>
    <w:basedOn w:val="Normal"/>
    <w:next w:val="Normal"/>
    <w:qFormat/>
    <w:pPr>
      <w:numPr>
        <w:ilvl w:val="0"/>
        <w:numId w:val="2"/>
      </w:numPr>
      <w:tabs>
        <w:tab w:val="clear" w:pos="720"/>
        <w:tab w:val="left" w:pos="4680" w:leader="none"/>
      </w:tabs>
      <w:spacing w:before="240" w:after="60"/>
      <w:ind w:hanging="0" w:start="4320" w:end="0"/>
      <w:outlineLvl w:val="6"/>
    </w:pPr>
    <w:rPr>
      <w:rFonts w:ascii="Arial" w:hAnsi="Arial" w:cs="Arial"/>
    </w:rPr>
  </w:style>
  <w:style w:type="paragraph" w:styleId="Heading8">
    <w:name w:val="heading 8"/>
    <w:basedOn w:val="Normal"/>
    <w:next w:val="Normal"/>
    <w:qFormat/>
    <w:pPr>
      <w:numPr>
        <w:ilvl w:val="0"/>
        <w:numId w:val="2"/>
      </w:numPr>
      <w:tabs>
        <w:tab w:val="clear" w:pos="720"/>
        <w:tab w:val="left" w:pos="5400" w:leader="none"/>
      </w:tabs>
      <w:spacing w:before="240" w:after="60"/>
      <w:ind w:hanging="0" w:start="5040" w:end="0"/>
      <w:outlineLvl w:val="7"/>
    </w:pPr>
    <w:rPr>
      <w:rFonts w:ascii="Arial" w:hAnsi="Arial" w:cs="Arial"/>
      <w:i/>
      <w:iCs/>
    </w:rPr>
  </w:style>
  <w:style w:type="paragraph" w:styleId="Heading9">
    <w:name w:val="heading 9"/>
    <w:basedOn w:val="Normal"/>
    <w:next w:val="Normal"/>
    <w:qFormat/>
    <w:pPr>
      <w:numPr>
        <w:ilvl w:val="0"/>
        <w:numId w:val="2"/>
      </w:numPr>
      <w:tabs>
        <w:tab w:val="clear" w:pos="720"/>
        <w:tab w:val="left" w:pos="6120" w:leader="none"/>
      </w:tabs>
      <w:spacing w:before="240" w:after="60"/>
      <w:ind w:hanging="0" w:start="5760" w:end="0"/>
      <w:outlineLvl w:val="8"/>
    </w:pPr>
    <w:rPr>
      <w:rFonts w:ascii="Arial" w:hAnsi="Arial" w:cs="Arial"/>
      <w:b/>
      <w:bCs/>
      <w:i/>
      <w:iCs/>
      <w:sz w:val="18"/>
      <w:szCs w:val="18"/>
    </w:rPr>
  </w:style>
  <w:style w:type="character" w:styleId="WW8Num1z0">
    <w:name w:val="WW8Num1z0"/>
    <w:qFormat/>
    <w:rPr>
      <w:b/>
      <w:i w:val="false"/>
      <w:spacing w:val="0"/>
      <w:sz w:val="28"/>
      <w:szCs w:val="28"/>
    </w:rPr>
  </w:style>
  <w:style w:type="character" w:styleId="WW8Num1z1">
    <w:name w:val="WW8Num1z1"/>
    <w:qFormat/>
    <w:rPr>
      <w:rFonts w:ascii="Times New Roman" w:hAnsi="Times New Roman" w:cs="Times New Roman"/>
      <w:b w:val="false"/>
      <w:i w:val="false"/>
      <w:spacing w:val="0"/>
      <w:sz w:val="24"/>
      <w:szCs w:val="24"/>
    </w:rPr>
  </w:style>
  <w:style w:type="character" w:styleId="WW8Num1z2">
    <w:name w:val="WW8Num1z2"/>
    <w:qFormat/>
    <w:rPr>
      <w:spacing w:val="0"/>
    </w:rPr>
  </w:style>
  <w:style w:type="character" w:styleId="WW8Num2z0">
    <w:name w:val="WW8Num2z0"/>
    <w:qFormat/>
    <w:rPr>
      <w:spacing w:val="0"/>
    </w:rPr>
  </w:style>
  <w:style w:type="character" w:styleId="WW8Num3z0">
    <w:name w:val="WW8Num3z0"/>
    <w:qFormat/>
    <w:rPr>
      <w:rFonts w:ascii="Times New Roman Bold;Times New Roman" w:hAnsi="Times New Roman Bold;Times New Roman" w:cs="Times New Roman"/>
      <w:b/>
      <w:i w:val="false"/>
      <w:spacing w:val="0"/>
      <w:sz w:val="24"/>
      <w:szCs w:val="24"/>
      <w:u w:val="none"/>
    </w:rPr>
  </w:style>
  <w:style w:type="character" w:styleId="WW8Num3z1">
    <w:name w:val="WW8Num3z1"/>
    <w:qFormat/>
    <w:rPr>
      <w:rFonts w:ascii="Times New Roman" w:hAnsi="Times New Roman" w:cs="Times New Roman"/>
      <w:b w:val="false"/>
      <w:i w:val="false"/>
      <w:spacing w:val="0"/>
      <w:sz w:val="24"/>
      <w:szCs w:val="24"/>
    </w:rPr>
  </w:style>
  <w:style w:type="character" w:styleId="WW8Num3z4">
    <w:name w:val="WW8Num3z4"/>
    <w:qFormat/>
    <w:rPr>
      <w:spacing w:val="0"/>
    </w:rPr>
  </w:style>
  <w:style w:type="character" w:styleId="WW8Num4z0">
    <w:name w:val="WW8Num4z0"/>
    <w:qFormat/>
    <w:rPr>
      <w:spacing w:val="0"/>
    </w:rPr>
  </w:style>
  <w:style w:type="character" w:styleId="WW8Num5z0">
    <w:name w:val="WW8Num5z0"/>
    <w:qFormat/>
    <w:rPr>
      <w:spacing w:val="0"/>
    </w:rPr>
  </w:style>
  <w:style w:type="character" w:styleId="WW8Num6z0">
    <w:name w:val="WW8Num6z0"/>
    <w:qFormat/>
    <w:rPr>
      <w:color w:val="000000"/>
      <w:spacing w:val="0"/>
    </w:rPr>
  </w:style>
  <w:style w:type="character" w:styleId="WW8Num7z0">
    <w:name w:val="WW8Num7z0"/>
    <w:qFormat/>
    <w:rPr>
      <w:spacing w:val="0"/>
    </w:rPr>
  </w:style>
  <w:style w:type="character" w:styleId="WW8Num8z0">
    <w:name w:val="WW8Num8z0"/>
    <w:qFormat/>
    <w:rPr>
      <w:rFonts w:ascii="Times New Roman" w:hAnsi="Times New Roman" w:cs="Times New Roman"/>
      <w:b w:val="false"/>
      <w:i w:val="false"/>
      <w:spacing w:val="0"/>
      <w:sz w:val="24"/>
      <w:szCs w:val="24"/>
    </w:rPr>
  </w:style>
  <w:style w:type="character" w:styleId="WW8Num8z1">
    <w:name w:val="WW8Num8z1"/>
    <w:qFormat/>
    <w:rPr>
      <w:spacing w:val="0"/>
    </w:rPr>
  </w:style>
  <w:style w:type="character" w:styleId="WW8Num9z0">
    <w:name w:val="WW8Num9z0"/>
    <w:qFormat/>
    <w:rPr>
      <w:spacing w:val="0"/>
    </w:rPr>
  </w:style>
  <w:style w:type="character" w:styleId="WW8Num10z0">
    <w:name w:val="WW8Num10z0"/>
    <w:qFormat/>
    <w:rPr>
      <w:b w:val="false"/>
      <w:i w:val="false"/>
      <w:caps w:val="false"/>
      <w:smallCaps w:val="false"/>
      <w:strike w:val="false"/>
      <w:dstrike w:val="false"/>
      <w:outline w:val="false"/>
      <w:shadow w:val="false"/>
      <w:vanish w:val="false"/>
      <w:color w:val="000000"/>
      <w:spacing w:val="0"/>
      <w:w w:val="100"/>
      <w:kern w:val="0"/>
      <w:position w:val="0"/>
      <w:sz w:val="24"/>
      <w:u w:val="none"/>
      <w:vertAlign w:val="baseline"/>
    </w:rPr>
  </w:style>
  <w:style w:type="character" w:styleId="WW8Num10z5">
    <w:name w:val="WW8Num10z5"/>
    <w:qFormat/>
    <w:rPr>
      <w:spacing w:val="0"/>
    </w:rPr>
  </w:style>
  <w:style w:type="character" w:styleId="WW8NumSt26z0">
    <w:name w:val="WW8NumSt26z0"/>
    <w:qFormat/>
    <w:rPr>
      <w:b/>
      <w:color w:val="0000FF"/>
      <w:spacing w:val="0"/>
      <w:u w:val="double"/>
    </w:rPr>
  </w:style>
  <w:style w:type="character" w:styleId="WW8NumSt27z0">
    <w:name w:val="WW8NumSt27z0"/>
    <w:qFormat/>
    <w:rPr>
      <w:b/>
      <w:color w:val="0000FF"/>
      <w:spacing w:val="0"/>
      <w:u w:val="double"/>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pacing w:val="0"/>
      <w:sz w:val="16"/>
      <w:szCs w:val="16"/>
    </w:rPr>
  </w:style>
  <w:style w:type="character" w:styleId="VEDocumentInformation">
    <w:name w:val="VE Document Information"/>
    <w:basedOn w:val="DefaultParagraphFont"/>
    <w:qFormat/>
    <w:rPr>
      <w:spacing w:val="0"/>
      <w:sz w:val="16"/>
      <w:szCs w:val="16"/>
    </w:rPr>
  </w:style>
  <w:style w:type="character" w:styleId="DeltaViewInsertion">
    <w:name w:val="DeltaView Insertion"/>
    <w:qFormat/>
    <w:rPr>
      <w:b/>
      <w:bCs/>
      <w:color w:val="0000FF"/>
      <w:spacing w:val="0"/>
      <w:u w:val="double"/>
    </w:rPr>
  </w:style>
  <w:style w:type="character" w:styleId="DeltaViewDeletion">
    <w:name w:val="DeltaView Deletion"/>
    <w:qFormat/>
    <w:rPr>
      <w:strike/>
      <w:color w:val="FF0000"/>
      <w:spacing w:val="0"/>
    </w:rPr>
  </w:style>
  <w:style w:type="character" w:styleId="DeltaViewMoveSource">
    <w:name w:val="DeltaView Move Source"/>
    <w:qFormat/>
    <w:rPr>
      <w:strike/>
      <w:color w:val="FF0000"/>
      <w:spacing w:val="0"/>
    </w:rPr>
  </w:style>
  <w:style w:type="character" w:styleId="DeltaViewMoveDestination">
    <w:name w:val="DeltaView Move Destination"/>
    <w:qFormat/>
    <w:rPr>
      <w:color w:val="0000FF"/>
      <w:spacing w:val="0"/>
      <w:u w:val="double"/>
    </w:rPr>
  </w:style>
  <w:style w:type="character" w:styleId="DeltaViewChangeNumber">
    <w:name w:val="DeltaView Change Number"/>
    <w:qFormat/>
    <w:rPr>
      <w:color w:val="7F7F7F"/>
      <w:spacing w:val="0"/>
      <w:vertAlign w:val="superscript"/>
    </w:rPr>
  </w:style>
  <w:style w:type="character" w:styleId="DeltaViewDelimiter">
    <w:name w:val="DeltaView Delimiter"/>
    <w:qFormat/>
    <w:rPr>
      <w:spacing w:val="0"/>
    </w:rPr>
  </w:style>
  <w:style w:type="character" w:styleId="DeltaViewFormatChange">
    <w:name w:val="DeltaView Format Change"/>
    <w:qFormat/>
    <w:rPr>
      <w:color w:val="000000"/>
      <w:spacing w:val="0"/>
    </w:rPr>
  </w:style>
  <w:style w:type="character" w:styleId="DeltaViewMovedDeletion">
    <w:name w:val="DeltaView Moved Deletion"/>
    <w:qFormat/>
    <w:rPr>
      <w:strike/>
      <w:color w:val="C08080"/>
      <w:spacing w:val="0"/>
    </w:rPr>
  </w:style>
  <w:style w:type="paragraph" w:styleId="Heading">
    <w:name w:val="Heading"/>
    <w:basedOn w:val="Normal"/>
    <w:next w:val="BodyText"/>
    <w:qFormat/>
    <w:pPr>
      <w:spacing w:before="120" w:after="360"/>
      <w:jc w:val="center"/>
      <w:outlineLvl w:val="0"/>
    </w:pPr>
    <w:rPr>
      <w:rFonts w:ascii="Times New Roman Bold;Times New Roman" w:hAnsi="Times New Roman Bold;Times New Roman" w:cs="Times New Roman Bold;Times New Roman"/>
      <w:b/>
      <w:bCs/>
      <w:kern w:val="2"/>
    </w:rPr>
  </w:style>
  <w:style w:type="paragraph" w:styleId="BodyText">
    <w:name w:val="Body Text"/>
    <w:basedOn w:val="Normal"/>
    <w:pPr>
      <w:spacing w:before="120" w:after="120"/>
      <w:ind w:firstLine="720" w:start="0" w:end="0"/>
    </w:pPr>
    <w:rPr/>
  </w:style>
  <w:style w:type="paragraph" w:styleId="List">
    <w:name w:val="List"/>
    <w:basedOn w:val="Normal"/>
    <w:pPr>
      <w:keepLines/>
      <w:spacing w:before="120" w:after="120"/>
      <w:ind w:hanging="720" w:start="21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acroText">
    <w:name w:val="Macro Text"/>
    <w:qFormat/>
    <w:pPr>
      <w:widowControl/>
      <w:tabs>
        <w:tab w:val="clear" w:pos="720"/>
        <w:tab w:val="left" w:pos="576" w:leader="none"/>
        <w:tab w:val="left" w:pos="965" w:leader="none"/>
        <w:tab w:val="left" w:pos="1440" w:leader="none"/>
        <w:tab w:val="left" w:pos="1915" w:leader="none"/>
        <w:tab w:val="left" w:pos="2405" w:leader="none"/>
        <w:tab w:val="left" w:pos="2880" w:leader="none"/>
        <w:tab w:val="left" w:pos="3355" w:leader="none"/>
        <w:tab w:val="left" w:pos="3845" w:leader="none"/>
        <w:tab w:val="left" w:pos="4320" w:leader="none"/>
      </w:tabs>
      <w:autoSpaceDE w:val="false"/>
      <w:bidi w:val="0"/>
    </w:pPr>
    <w:rPr>
      <w:rFonts w:ascii="Times New Roman" w:hAnsi="Times New Roman" w:eastAsia="Times New Roman" w:cs="Times New Roman"/>
      <w:b/>
      <w:bCs/>
      <w:color w:val="auto"/>
      <w:sz w:val="21"/>
      <w:szCs w:val="21"/>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spacing w:before="120" w:after="120"/>
      <w:ind w:firstLine="2160" w:start="0" w:end="0"/>
    </w:pPr>
    <w:rPr/>
  </w:style>
  <w:style w:type="paragraph" w:styleId="BodyText3">
    <w:name w:val="Body Text 3"/>
    <w:basedOn w:val="Normal"/>
    <w:qFormat/>
    <w:pPr>
      <w:spacing w:before="120" w:after="120"/>
      <w:ind w:firstLine="1440" w:start="0" w:end="0"/>
    </w:pPr>
    <w:rPr/>
  </w:style>
  <w:style w:type="paragraph" w:styleId="Header">
    <w:name w:val="header"/>
    <w:basedOn w:val="Normal"/>
    <w:pPr>
      <w:tabs>
        <w:tab w:val="clear" w:pos="720"/>
        <w:tab w:val="center" w:pos="4320" w:leader="none"/>
        <w:tab w:val="right" w:pos="8640" w:leader="none"/>
      </w:tabs>
    </w:pPr>
    <w:rPr/>
  </w:style>
  <w:style w:type="paragraph" w:styleId="BodyText4">
    <w:name w:val="Body Text 4"/>
    <w:basedOn w:val="Normal"/>
    <w:qFormat/>
    <w:pPr>
      <w:jc w:val="both"/>
    </w:pPr>
    <w:rPr/>
  </w:style>
  <w:style w:type="paragraph" w:styleId="Signature">
    <w:name w:val="Signature"/>
    <w:basedOn w:val="Normal"/>
    <w:pPr>
      <w:ind w:hanging="0" w:start="5040" w:end="0"/>
    </w:pPr>
    <w:rPr/>
  </w:style>
  <w:style w:type="paragraph" w:styleId="TOC1">
    <w:name w:val="toc 1"/>
    <w:basedOn w:val="Normal"/>
    <w:next w:val="Normal"/>
    <w:pPr>
      <w:keepNext w:val="true"/>
      <w:tabs>
        <w:tab w:val="clear" w:pos="720"/>
        <w:tab w:val="left" w:pos="480" w:leader="none"/>
        <w:tab w:val="right" w:pos="9350" w:leader="dot"/>
      </w:tabs>
      <w:spacing w:before="240" w:after="120"/>
    </w:pPr>
    <w:rPr>
      <w:lang w:val="en-CA" w:eastAsia="en-CA"/>
    </w:rPr>
  </w:style>
  <w:style w:type="paragraph" w:styleId="Subtitle">
    <w:name w:val="Subtitle"/>
    <w:basedOn w:val="Normal"/>
    <w:next w:val="BodyText"/>
    <w:qFormat/>
    <w:pPr>
      <w:spacing w:before="0" w:after="360"/>
      <w:jc w:val="center"/>
      <w:outlineLvl w:val="1"/>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CommentText">
    <w:name w:val="Comment Text"/>
    <w:basedOn w:val="Normal"/>
    <w:qFormat/>
    <w:pPr/>
    <w:rPr>
      <w:sz w:val="20"/>
      <w:szCs w:val="20"/>
    </w:rPr>
  </w:style>
  <w:style w:type="paragraph" w:styleId="VEBodyText6">
    <w:name w:val="VE Body Text 6"/>
    <w:basedOn w:val="Normal"/>
    <w:next w:val="Normal"/>
    <w:qFormat/>
    <w:pPr>
      <w:jc w:val="both"/>
    </w:pPr>
    <w:rPr/>
  </w:style>
  <w:style w:type="paragraph" w:styleId="VEBodyText">
    <w:name w:val="VE Body Text"/>
    <w:basedOn w:val="Normal"/>
    <w:qFormat/>
    <w:pPr>
      <w:spacing w:before="0" w:after="240"/>
      <w:jc w:val="both"/>
    </w:pPr>
    <w:rPr/>
  </w:style>
  <w:style w:type="paragraph" w:styleId="vlg-5">
    <w:name w:val="vlg-.5&quot;"/>
    <w:basedOn w:val="Normal"/>
    <w:qFormat/>
    <w:pPr>
      <w:spacing w:before="0" w:after="240"/>
      <w:ind w:firstLine="720" w:start="0" w:end="0"/>
    </w:pPr>
    <w:rPr/>
  </w:style>
  <w:style w:type="paragraph" w:styleId="DeltaViewTableHeading">
    <w:name w:val="DeltaView Table Heading"/>
    <w:basedOn w:val="Normal"/>
    <w:qFormat/>
    <w:pPr>
      <w:spacing w:before="0" w:after="120"/>
    </w:pPr>
    <w:rPr>
      <w:rFonts w:ascii="Arial" w:hAnsi="Arial" w:cs="Arial"/>
      <w:b/>
      <w:bCs/>
    </w:rPr>
  </w:style>
  <w:style w:type="paragraph" w:styleId="DeltaViewTableBody">
    <w:name w:val="DeltaView Table Body"/>
    <w:basedOn w:val="Normal"/>
    <w:qFormat/>
    <w:pPr/>
    <w:rPr>
      <w:rFonts w:ascii="Arial" w:hAnsi="Arial" w:cs="Arial"/>
    </w:rPr>
  </w:style>
  <w:style w:type="paragraph" w:styleId="DeltaViewAnnounce">
    <w:name w:val="DeltaView Announce"/>
    <w:qFormat/>
    <w:pPr>
      <w:widowControl/>
      <w:autoSpaceDE w:val="false"/>
      <w:bidi w:val="0"/>
      <w:spacing w:before="100" w:after="100"/>
    </w:pPr>
    <w:rPr>
      <w:rFonts w:ascii="Arial" w:hAnsi="Arial" w:eastAsia="Times New Roman" w:cs="Arial"/>
      <w:color w:val="auto"/>
      <w:sz w:val="24"/>
      <w:szCs w:val="24"/>
      <w:lang w:val="en-GB" w:bidi="ar-SA" w:eastAsia="zh-CN"/>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2001-02-22T23:31:00Z</dcterms:created>
  <dc:creator>Christine Sodano</dc:creator>
  <dc:description/>
  <dc:language>en-CA</dc:language>
  <cp:lastModifiedBy>Vinson &amp; Elkins L.L.P.</cp:lastModifiedBy>
  <cp:lastPrinted>2001-02-22T19:54:00Z</cp:lastPrinted>
  <dcterms:modified xsi:type="dcterms:W3CDTF">2001-02-22T23:31:00Z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Sent">
    <vt:r8>5</vt:r8>
  </property>
  <property fmtid="{D5CDD505-2E9C-101B-9397-08002B2CF9AE}" pid="3" name="DeltaView File">
    <vt:bool>1</vt:bool>
  </property>
</Properties>
</file>