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Duke Energy Trading &amp; Marketing LLC,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DUKE ENERGY TRADING &amp; MARKETING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/mnt/main-storage/datasets/enron-docs/doc/DUK_ENERGY_TRADING__HPL.doc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Duke Energy Trading &amp; Marketing LLC</w:t>
      </w:r>
    </w:p>
    <w:p>
      <w:pPr>
        <w:pStyle w:val="Normal"/>
        <w:jc w:val="both"/>
        <w:rPr>
          <w:rFonts w:ascii="Arial Narrow" w:hAnsi="Arial Narrow" w:cs="Arial Narrow"/>
          <w:sz w:val="18"/>
        </w:rPr>
      </w:pPr>
      <w:r>
        <w:rPr>
          <w:rFonts w:cs="Arial Narrow" w:ascii="Arial Narrow" w:hAnsi="Arial Narrow"/>
          <w:sz w:val="18"/>
        </w:rPr>
        <w:t>10777 Westheimer, Suite 650</w:t>
      </w:r>
    </w:p>
    <w:p>
      <w:pPr>
        <w:pStyle w:val="Normal"/>
        <w:jc w:val="both"/>
        <w:rPr>
          <w:rFonts w:ascii="Arial Narrow" w:hAnsi="Arial Narrow" w:cs="Arial Narrow"/>
          <w:sz w:val="18"/>
        </w:rPr>
      </w:pPr>
      <w:r>
        <w:rPr>
          <w:rFonts w:cs="Arial Narrow" w:ascii="Arial Narrow" w:hAnsi="Arial Narrow"/>
          <w:sz w:val="18"/>
        </w:rPr>
        <w:t>Houston, TX 77042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2000-05-31T18:55:00Z</dcterms:created>
  <dc:creator>dperlin</dc:creator>
  <dc:description/>
  <dc:language>en-CA</dc:language>
  <cp:lastModifiedBy>dperlin</cp:lastModifiedBy>
  <cp:lastPrinted>2000-06-01T11:40:00Z</cp:lastPrinted>
  <dcterms:modified xsi:type="dcterms:W3CDTF">2000-06-01T14:14:00Z</dcterms:modified>
  <cp:revision>4</cp:revision>
  <dc:subject/>
  <dc:title>ENFOLIO® MASTER FIRM PURCHASE/SALE AGREEMENT</dc:title>
</cp:coreProperties>
</file>