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WP-02 Data Response</w:t>
      </w:r>
    </w:p>
    <w:p>
      <w:pPr>
        <w:pStyle w:val="BodyText"/>
        <w:spacing w:before="0" w:after="0"/>
        <w:jc w:val="center"/>
        <w:rPr>
          <w:b/>
        </w:rPr>
      </w:pPr>
      <w:r>
        <w:rPr>
          <w:b/>
        </w:rPr>
      </w:r>
    </w:p>
    <w:p>
      <w:pPr>
        <w:pStyle w:val="BodyText"/>
        <w:spacing w:before="0" w:after="0"/>
        <w:rPr>
          <w:b/>
        </w:rPr>
      </w:pPr>
      <w:r>
        <w:rPr>
          <w:b/>
        </w:rPr>
      </w:r>
    </w:p>
    <w:p>
      <w:pPr>
        <w:pStyle w:val="BodyText"/>
        <w:spacing w:before="0" w:after="0"/>
        <w:ind w:hanging="0" w:end="0"/>
        <w:rPr/>
      </w:pPr>
      <w:r>
        <w:rPr>
          <w:b/>
        </w:rPr>
        <w:t xml:space="preserve">Request No.: </w:t>
      </w:r>
      <w:r>
        <w:rPr/>
        <w:t>DS-PG:003</w:t>
      </w:r>
    </w:p>
    <w:p>
      <w:pPr>
        <w:pStyle w:val="BodyText"/>
        <w:spacing w:before="0" w:after="0"/>
        <w:rPr/>
      </w:pPr>
      <w:r>
        <w:rPr/>
      </w:r>
    </w:p>
    <w:p>
      <w:pPr>
        <w:pStyle w:val="Normal"/>
        <w:rPr/>
      </w:pPr>
      <w:r>
        <w:rPr>
          <w:b/>
        </w:rPr>
        <w:t xml:space="preserve">Request:  </w:t>
      </w:r>
      <w:r>
        <w:rPr>
          <w:lang w:eastAsia="en-US"/>
        </w:rPr>
        <w:t>exhibit_wp-02-e-:  JCG-01, -02</w:t>
      </w:r>
    </w:p>
    <w:p>
      <w:pPr>
        <w:pStyle w:val="Normal"/>
        <w:rPr>
          <w:lang w:eastAsia="en-US"/>
        </w:rPr>
      </w:pPr>
      <w:r>
        <w:rPr>
          <w:lang w:eastAsia="en-US"/>
        </w:rPr>
      </w:r>
    </w:p>
    <w:p>
      <w:pPr>
        <w:pStyle w:val="Normal"/>
        <w:rPr>
          <w:lang w:eastAsia="en-US"/>
        </w:rPr>
      </w:pPr>
      <w:r>
        <w:rPr>
          <w:lang w:eastAsia="en-US"/>
        </w:rPr>
        <w:t>Please disclose and/or produce any and all communications from October 16, 2001 to the present, between any of the party representatives listed below and any representative of BPA concerning rates to be in effect for BPA's Fiscal Years 2002-2006, the interactions of such rates and customer contracts, or procedural aspects of rate these proceedings.</w:t>
      </w:r>
    </w:p>
    <w:p>
      <w:pPr>
        <w:pStyle w:val="Normal"/>
        <w:rPr>
          <w:lang w:eastAsia="en-US"/>
        </w:rPr>
      </w:pPr>
      <w:r>
        <w:rPr>
          <w:lang w:eastAsia="en-US"/>
        </w:rPr>
      </w:r>
    </w:p>
    <w:p>
      <w:pPr>
        <w:pStyle w:val="Normal"/>
        <w:rPr>
          <w:lang w:eastAsia="en-US"/>
        </w:rPr>
      </w:pPr>
      <w:r>
        <w:rPr>
          <w:lang w:eastAsia="en-US"/>
        </w:rPr>
        <w:t>Terry Mundorf (WPAG)</w:t>
        <w:tab/>
      </w:r>
    </w:p>
    <w:p>
      <w:pPr>
        <w:pStyle w:val="Normal"/>
        <w:rPr>
          <w:lang w:eastAsia="en-US"/>
        </w:rPr>
      </w:pPr>
      <w:r>
        <w:rPr>
          <w:lang w:eastAsia="en-US"/>
        </w:rPr>
        <w:t>Lon Peters (PGP)</w:t>
      </w:r>
    </w:p>
    <w:p>
      <w:pPr>
        <w:pStyle w:val="Normal"/>
        <w:rPr>
          <w:lang w:eastAsia="en-US"/>
        </w:rPr>
      </w:pPr>
      <w:r>
        <w:rPr>
          <w:lang w:eastAsia="en-US"/>
        </w:rPr>
        <w:t>Linc Wolverton (ICNU)</w:t>
      </w:r>
    </w:p>
    <w:p>
      <w:pPr>
        <w:pStyle w:val="Normal"/>
        <w:rPr>
          <w:lang w:eastAsia="en-US"/>
        </w:rPr>
      </w:pPr>
      <w:r>
        <w:rPr>
          <w:lang w:eastAsia="en-US"/>
        </w:rPr>
        <w:t>Scott Brattebo (PacifiCorp)</w:t>
      </w:r>
    </w:p>
    <w:p>
      <w:pPr>
        <w:pStyle w:val="Normal"/>
        <w:rPr>
          <w:lang w:eastAsia="en-US"/>
        </w:rPr>
      </w:pPr>
      <w:r>
        <w:rPr>
          <w:lang w:eastAsia="en-US"/>
        </w:rPr>
        <w:t>Kevin Clark (Seattle City Light)</w:t>
      </w:r>
    </w:p>
    <w:p>
      <w:pPr>
        <w:pStyle w:val="Normal"/>
        <w:rPr>
          <w:lang w:eastAsia="en-US"/>
        </w:rPr>
      </w:pPr>
      <w:r>
        <w:rPr>
          <w:lang w:eastAsia="en-US"/>
        </w:rPr>
        <w:t>David Hoff (PSE)</w:t>
      </w:r>
    </w:p>
    <w:p>
      <w:pPr>
        <w:pStyle w:val="Normal"/>
        <w:rPr>
          <w:lang w:eastAsia="en-US"/>
        </w:rPr>
      </w:pPr>
      <w:r>
        <w:rPr>
          <w:lang w:eastAsia="en-US"/>
        </w:rPr>
        <w:t>Geoff Carr (Northwest Requirements Utilities)</w:t>
      </w:r>
    </w:p>
    <w:p>
      <w:pPr>
        <w:pStyle w:val="Normal"/>
        <w:rPr>
          <w:lang w:eastAsia="en-US"/>
        </w:rPr>
      </w:pPr>
      <w:r>
        <w:rPr>
          <w:lang w:eastAsia="en-US"/>
        </w:rPr>
        <w:t>Dennis Parrish  (Market Access Coalition Group)</w:t>
      </w:r>
    </w:p>
    <w:p>
      <w:pPr>
        <w:pStyle w:val="Normal"/>
        <w:rPr>
          <w:lang w:eastAsia="en-US"/>
        </w:rPr>
      </w:pPr>
      <w:r>
        <w:rPr>
          <w:lang w:eastAsia="en-US"/>
        </w:rPr>
        <w:t>Pam Jacklin (PacifiCorp)</w:t>
      </w:r>
    </w:p>
    <w:p>
      <w:pPr>
        <w:pStyle w:val="Normal"/>
        <w:rPr>
          <w:lang w:eastAsia="en-US"/>
        </w:rPr>
      </w:pPr>
      <w:r>
        <w:rPr>
          <w:lang w:eastAsia="en-US"/>
        </w:rPr>
        <w:t>Peter Richardson (PPC)</w:t>
      </w:r>
    </w:p>
    <w:p>
      <w:pPr>
        <w:pStyle w:val="Normal"/>
        <w:rPr>
          <w:lang w:eastAsia="en-US"/>
        </w:rPr>
      </w:pPr>
      <w:r>
        <w:rPr>
          <w:lang w:eastAsia="en-US"/>
        </w:rPr>
        <w:t>Kyle Sciuchetti (PPC)</w:t>
      </w:r>
    </w:p>
    <w:p>
      <w:pPr>
        <w:pStyle w:val="Normal"/>
        <w:rPr>
          <w:lang w:eastAsia="en-US"/>
        </w:rPr>
      </w:pPr>
      <w:r>
        <w:rPr>
          <w:lang w:eastAsia="en-US"/>
        </w:rPr>
        <w:t>Ray Kindley (PGP)</w:t>
      </w:r>
    </w:p>
    <w:p>
      <w:pPr>
        <w:pStyle w:val="Normal"/>
        <w:rPr>
          <w:lang w:eastAsia="en-US"/>
        </w:rPr>
      </w:pPr>
      <w:r>
        <w:rPr>
          <w:lang w:eastAsia="en-US"/>
        </w:rPr>
        <w:t>Jay Waldron (PGP)</w:t>
      </w:r>
    </w:p>
    <w:p>
      <w:pPr>
        <w:pStyle w:val="Normal"/>
        <w:rPr>
          <w:lang w:eastAsia="en-US"/>
        </w:rPr>
      </w:pPr>
      <w:r>
        <w:rPr>
          <w:lang w:eastAsia="en-US"/>
        </w:rPr>
        <w:t>Doug Brawley (PNGC)</w:t>
      </w:r>
    </w:p>
    <w:p>
      <w:pPr>
        <w:pStyle w:val="Normal"/>
        <w:rPr>
          <w:lang w:eastAsia="en-US"/>
        </w:rPr>
      </w:pPr>
      <w:r>
        <w:rPr>
          <w:lang w:eastAsia="en-US"/>
        </w:rPr>
        <w:t>Eric Johnson (PNGC)</w:t>
      </w:r>
    </w:p>
    <w:p>
      <w:pPr>
        <w:pStyle w:val="Normal"/>
        <w:rPr>
          <w:lang w:eastAsia="en-US"/>
        </w:rPr>
      </w:pPr>
      <w:r>
        <w:rPr>
          <w:lang w:eastAsia="en-US"/>
        </w:rPr>
        <w:t>Darcy Norville (PGE)</w:t>
      </w:r>
    </w:p>
    <w:p>
      <w:pPr>
        <w:pStyle w:val="Normal"/>
        <w:rPr>
          <w:lang w:eastAsia="en-US"/>
        </w:rPr>
      </w:pPr>
      <w:r>
        <w:rPr>
          <w:lang w:eastAsia="en-US"/>
        </w:rPr>
        <w:t>Lynn Williams (PGE)</w:t>
      </w:r>
    </w:p>
    <w:p>
      <w:pPr>
        <w:pStyle w:val="Normal"/>
        <w:rPr>
          <w:lang w:eastAsia="en-US"/>
        </w:rPr>
      </w:pPr>
      <w:r>
        <w:rPr>
          <w:lang w:eastAsia="en-US"/>
        </w:rPr>
        <w:t>Steve Weiss (Northwest Energy Coalition)</w:t>
      </w:r>
    </w:p>
    <w:p>
      <w:pPr>
        <w:pStyle w:val="Normal"/>
        <w:rPr>
          <w:lang w:eastAsia="en-US"/>
        </w:rPr>
      </w:pPr>
      <w:r>
        <w:rPr>
          <w:lang w:eastAsia="en-US"/>
        </w:rPr>
        <w:t>Mark Hellman (OPUC)</w:t>
      </w:r>
    </w:p>
    <w:p>
      <w:pPr>
        <w:pStyle w:val="Normal"/>
        <w:rPr>
          <w:lang w:eastAsia="en-US"/>
        </w:rPr>
      </w:pPr>
      <w:r>
        <w:rPr>
          <w:lang w:eastAsia="en-US"/>
        </w:rPr>
      </w:r>
    </w:p>
    <w:p>
      <w:pPr>
        <w:pStyle w:val="Normal"/>
        <w:rPr>
          <w:lang w:eastAsia="en-US"/>
        </w:rPr>
      </w:pPr>
      <w:r>
        <w:rPr>
          <w:lang w:eastAsia="en-US"/>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lang w:eastAsia="en-US"/>
        </w:rPr>
      </w:pPr>
      <w:r>
        <w:rPr>
          <w:lang w:eastAsia="en-US"/>
        </w:rPr>
      </w:r>
    </w:p>
    <w:p>
      <w:pPr>
        <w:pStyle w:val="Normal"/>
        <w:rPr>
          <w:rFonts w:ascii="Courier New" w:hAnsi="Courier New" w:cs="Courier New"/>
          <w:lang w:eastAsia="en-US"/>
        </w:rPr>
      </w:pPr>
      <w:r>
        <w:rPr>
          <w:lang w:eastAsia="en-US"/>
        </w:rPr>
        <w:tab/>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rPr>
          <w:rFonts w:ascii="Courier New" w:hAnsi="Courier New" w:cs="Courier New"/>
          <w:lang w:eastAsia="en-US"/>
        </w:rPr>
      </w:pPr>
      <w:r>
        <w:rPr>
          <w:rFonts w:cs="Courier New" w:ascii="Courier New" w:hAnsi="Courier New"/>
          <w:lang w:eastAsia="en-US"/>
        </w:rPr>
      </w:r>
    </w:p>
    <w:p>
      <w:pPr>
        <w:pStyle w:val="BodyText"/>
        <w:spacing w:before="0" w:after="0"/>
        <w:ind w:hanging="0" w:end="0"/>
        <w:rPr>
          <w:lang w:eastAsia="en-US"/>
        </w:rPr>
      </w:pPr>
      <w:r>
        <w:rPr>
          <w:lang w:eastAsia="en-US"/>
        </w:rPr>
      </w:r>
    </w:p>
    <w:p>
      <w:pPr>
        <w:pStyle w:val="BodyText"/>
        <w:spacing w:before="0" w:after="0"/>
        <w:ind w:hanging="0" w:end="0"/>
        <w:rPr/>
      </w:pPr>
      <w:r>
        <w:rPr>
          <w:b/>
          <w:lang w:eastAsia="en-US"/>
        </w:rPr>
        <w:t>Response:</w:t>
        <w:tab/>
      </w:r>
      <w:r>
        <w:rPr>
          <w:lang w:eastAsia="en-US"/>
        </w:rPr>
        <w:t>DS-PG:003</w:t>
      </w:r>
    </w:p>
    <w:p>
      <w:pPr>
        <w:pStyle w:val="BodyText"/>
        <w:spacing w:before="0" w:after="0"/>
        <w:ind w:hanging="0" w:end="0"/>
        <w:rPr>
          <w:lang w:eastAsia="en-US"/>
        </w:rPr>
      </w:pPr>
      <w:r>
        <w:rPr>
          <w:lang w:eastAsia="en-US"/>
        </w:rPr>
      </w:r>
    </w:p>
    <w:p>
      <w:pPr>
        <w:pStyle w:val="Normal"/>
        <w:rPr>
          <w:lang w:eastAsia="en-US"/>
        </w:rPr>
      </w:pPr>
      <w:r>
        <w:rPr>
          <w:lang w:eastAsia="en-US"/>
        </w:rPr>
        <w:t>Public Generating Pool (PGP) objects to this Data Request on the grounds that it (i) seeks information that is not relevant; (ii) seeks information that is privileged; and (iii) seeks information that is unduly burdensome to produce.  Rules of Procedure Governing Rate Hearings, Section 1010.8(b).  PGP further objects to this Data Request on the grounds that it is in improper form because it does not cite to specific testimony or indicate the specific use to which the information sought will be put.  Special Rules of Practice, WP-02-O-01.  Further, the Data Request PGP received in hard copy on or about March 10, 2001 covered communications from October 16, 2001 to the present, of which there were none.  PGP hereby responds to the corrected Data Requests received March 14, 2001 covering communications from October 16, 2000 to the present. Without waiving the foregoing objections, PGP responds as follows:</w:t>
      </w:r>
    </w:p>
    <w:p>
      <w:pPr>
        <w:pStyle w:val="Normal"/>
        <w:rPr>
          <w:lang w:eastAsia="en-US"/>
        </w:rPr>
      </w:pPr>
      <w:r>
        <w:rPr>
          <w:lang w:eastAsia="en-US"/>
        </w:rPr>
      </w:r>
    </w:p>
    <w:p>
      <w:pPr>
        <w:pStyle w:val="Normal"/>
        <w:rPr>
          <w:lang w:eastAsia="en-US"/>
        </w:rPr>
      </w:pPr>
      <w:r>
        <w:rPr>
          <w:lang w:eastAsia="en-US"/>
        </w:rPr>
      </w:r>
    </w:p>
    <w:p>
      <w:pPr>
        <w:pStyle w:val="BodyText"/>
        <w:spacing w:before="0" w:after="0"/>
        <w:ind w:hanging="0" w:end="0"/>
        <w:rPr>
          <w:b/>
          <w:sz w:val="28"/>
        </w:rPr>
      </w:pPr>
      <w:r>
        <w:rPr>
          <w:b/>
          <w:sz w:val="28"/>
        </w:rPr>
        <w:t>Please See Response to DS-PG:001</w:t>
      </w:r>
    </w:p>
    <w:p>
      <w:pPr>
        <w:pStyle w:val="BodyText"/>
        <w:spacing w:before="0" w:after="0"/>
        <w:ind w:hanging="0" w:end="0"/>
        <w:rPr>
          <w:b/>
          <w:sz w:val="28"/>
        </w:rPr>
      </w:pPr>
      <w:r>
        <w:rPr>
          <w:b/>
          <w:sz w:val="28"/>
        </w:rPr>
      </w:r>
    </w:p>
    <w:p>
      <w:pPr>
        <w:pStyle w:val="BodyText"/>
        <w:spacing w:before="0" w:after="0"/>
        <w:ind w:hanging="0" w:end="0"/>
        <w:rPr/>
      </w:pPr>
      <w:r>
        <w:rPr/>
      </w:r>
    </w:p>
    <w:p>
      <w:pPr>
        <w:pStyle w:val="BodyText"/>
        <w:spacing w:before="0" w:after="0"/>
        <w:ind w:hanging="0" w:end="0"/>
        <w:rPr/>
      </w:pPr>
      <w:r>
        <w:rPr/>
      </w:r>
    </w:p>
    <w:p>
      <w:pPr>
        <w:pStyle w:val="BodyText"/>
        <w:spacing w:before="0" w:after="0"/>
        <w:ind w:hanging="0" w:end="0"/>
        <w:rPr/>
      </w:pPr>
      <w:r>
        <w:rPr/>
      </w:r>
    </w:p>
    <w:p>
      <w:pPr>
        <w:pStyle w:val="BodyText"/>
        <w:spacing w:before="0" w:after="0"/>
        <w:ind w:hanging="0" w:end="0"/>
        <w:rPr/>
      </w:pPr>
      <w:r>
        <w:rPr/>
      </w:r>
    </w:p>
    <w:p>
      <w:pPr>
        <w:pStyle w:val="BodyText"/>
        <w:spacing w:before="0" w:after="0"/>
        <w:ind w:hanging="0" w:end="0"/>
        <w:rPr/>
      </w:pPr>
      <w:r>
        <w:rPr/>
      </w:r>
    </w:p>
    <w:p>
      <w:pPr>
        <w:pStyle w:val="BodyText"/>
        <w:spacing w:before="0" w:after="0"/>
        <w:ind w:hanging="0" w:end="0"/>
        <w:rPr/>
      </w:pPr>
      <w:r>
        <w:rPr/>
      </w:r>
    </w:p>
    <w:p>
      <w:pPr>
        <w:pStyle w:val="BodyText"/>
        <w:spacing w:before="0" w:after="0"/>
        <w:ind w:hanging="0" w:end="0"/>
        <w:rPr/>
      </w:pPr>
      <w:r>
        <w:rPr/>
      </w:r>
    </w:p>
    <w:p>
      <w:pPr>
        <w:pStyle w:val="BodyText"/>
        <w:spacing w:before="0" w:after="0"/>
        <w:ind w:hanging="0" w:end="0"/>
        <w:rPr/>
      </w:pPr>
      <w:r>
        <w:rPr/>
      </w:r>
    </w:p>
    <w:p>
      <w:pPr>
        <w:pStyle w:val="BodyText"/>
        <w:spacing w:before="0" w:after="0"/>
        <w:ind w:hanging="0" w:end="0"/>
        <w:rPr/>
      </w:pPr>
      <w:r>
        <w:rPr/>
      </w:r>
    </w:p>
    <w:sectPr>
      <w:footerReference w:type="default" r:id="rId2"/>
      <w:type w:val="nextPage"/>
      <w:pgSz w:w="12240" w:h="15840"/>
      <w:pgMar w:left="1440" w:right="1440" w:gutter="0" w:header="0" w:top="144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mallPrint"/>
      <w:rPr/>
    </w:pPr>
    <w:r>
      <w:rPr/>
      <w:fldChar w:fldCharType="begin"/>
    </w:r>
    <w:r>
      <w:rPr/>
      <w:instrText xml:space="preserve"> DOCPROPERTY "SchwabeDocInfo"</w:instrText>
    </w:r>
    <w:r>
      <w:rPr/>
      <w:fldChar w:fldCharType="separate"/>
    </w:r>
    <w:r>
      <w:rPr/>
      <w:t>PDX/071000/121831/KBE/892649.1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Marlett" w:hAnsi="Marlett" w:cs="Marlett"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6">
    <w:name w:val="heading 6"/>
    <w:basedOn w:val="Normal"/>
    <w:next w:val="Normal"/>
    <w:qFormat/>
    <w:pPr>
      <w:numPr>
        <w:ilvl w:val="5"/>
        <w:numId w:val="1"/>
      </w:numPr>
      <w:spacing w:before="240" w:after="60"/>
      <w:outlineLvl w:val="5"/>
    </w:pPr>
    <w:rPr>
      <w:color w:val="0000FF"/>
      <w:sz w:val="22"/>
    </w:rPr>
  </w:style>
  <w:style w:type="character" w:styleId="WW8Num1z0">
    <w:name w:val="WW8Num1z0"/>
    <w:qFormat/>
    <w:rPr/>
  </w:style>
  <w:style w:type="character" w:styleId="WW8Num2z0">
    <w:name w:val="WW8Num2z0"/>
    <w:qFormat/>
    <w:rPr>
      <w:rFonts w:ascii="Marlett" w:hAnsi="Marlett" w:cs="Lucida Console"/>
    </w:rPr>
  </w:style>
  <w:style w:type="character" w:styleId="DefaultParagraphFont">
    <w:name w:val="Default Paragraph Font"/>
    <w:qFormat/>
    <w:rPr/>
  </w:style>
  <w:style w:type="paragraph" w:styleId="Heading">
    <w:name w:val="Heading"/>
    <w:basedOn w:val="Normal"/>
    <w:next w:val="BodyText"/>
    <w:qFormat/>
    <w:pPr>
      <w:spacing w:before="120" w:after="0"/>
      <w:jc w:val="center"/>
    </w:pPr>
    <w:rPr>
      <w:b/>
      <w:smallCaps/>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mpersand">
    <w:name w:val="Ampersand"/>
    <w:qFormat/>
    <w:pPr>
      <w:widowControl/>
      <w:bidi w:val="0"/>
    </w:pPr>
    <w:rPr>
      <w:rFonts w:ascii="Times New Roman" w:hAnsi="Times New Roman" w:eastAsia="Times New Roman" w:cs="Times New Roman"/>
      <w:b/>
      <w:smallCaps/>
      <w:color w:val="auto"/>
      <w:sz w:val="36"/>
      <w:szCs w:val="20"/>
      <w:lang w:val="en-CA" w:eastAsia="zh-CN" w:bidi="hi-IN"/>
    </w:rPr>
  </w:style>
  <w:style w:type="paragraph" w:styleId="Quote">
    <w:name w:val="Quote"/>
    <w:basedOn w:val="Normal"/>
    <w:next w:val="Normal"/>
    <w:qFormat/>
    <w:pPr>
      <w:pBdr>
        <w:top w:val="double" w:sz="4" w:space="1" w:color="000000"/>
      </w:pBdr>
      <w:jc w:val="center"/>
    </w:pPr>
    <w:rPr>
      <w:sz w:val="32"/>
    </w:rPr>
  </w:style>
  <w:style w:type="paragraph" w:styleId="BulletedList">
    <w:name w:val="Bulleted List"/>
    <w:basedOn w:val="Normal"/>
    <w:qFormat/>
    <w:pPr>
      <w:numPr>
        <w:ilvl w:val="0"/>
        <w:numId w:val="2"/>
      </w:numPr>
    </w:pPr>
    <w:rPr>
      <w:b/>
      <w:sz w:val="28"/>
    </w:rPr>
  </w:style>
  <w:style w:type="paragraph" w:styleId="Disclaimer">
    <w:name w:val="Disclaimer"/>
    <w:basedOn w:val="Normal"/>
    <w:qFormat/>
    <w:pPr>
      <w:spacing w:lineRule="exact" w:line="240"/>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erSmallPrint">
    <w:name w:val="FooterSmallPrint"/>
    <w:basedOn w:val="Footer"/>
    <w:qFormat/>
    <w:pPr>
      <w:spacing w:lineRule="exact" w:line="200"/>
    </w:pPr>
    <w:rPr>
      <w:sz w:val="16"/>
    </w:rPr>
  </w:style>
  <w:style w:type="paragraph" w:styleId="Header">
    <w:name w:val="header"/>
    <w:basedOn w:val="Normal"/>
    <w:pPr>
      <w:tabs>
        <w:tab w:val="clear" w:pos="720"/>
        <w:tab w:val="center" w:pos="4680" w:leader="none"/>
      </w:tabs>
    </w:pPr>
    <w:rPr/>
  </w:style>
  <w:style w:type="paragraph" w:styleId="LetheadFooter">
    <w:name w:val="LetheadFooter"/>
    <w:qFormat/>
    <w:pPr>
      <w:widowControl/>
      <w:bidi w:val="0"/>
      <w:spacing w:lineRule="exact" w:line="140"/>
      <w:jc w:val="center"/>
    </w:pPr>
    <w:rPr>
      <w:rFonts w:ascii="Times New Roman" w:hAnsi="Times New Roman" w:eastAsia="Times New Roman" w:cs="Times New Roman"/>
      <w:caps/>
      <w:color w:val="auto"/>
      <w:sz w:val="12"/>
      <w:szCs w:val="20"/>
      <w:lang w:val="en-CA" w:eastAsia="zh-CN" w:bidi="hi-IN"/>
    </w:rPr>
  </w:style>
  <w:style w:type="paragraph" w:styleId="LetheadName">
    <w:name w:val="LetheadName"/>
    <w:qFormat/>
    <w:pPr>
      <w:widowControl/>
      <w:bidi w:val="0"/>
      <w:spacing w:lineRule="exact" w:line="120"/>
      <w:jc w:val="center"/>
    </w:pPr>
    <w:rPr>
      <w:rFonts w:ascii="Times New Roman" w:hAnsi="Times New Roman" w:eastAsia="Times New Roman" w:cs="Times New Roman"/>
      <w:caps/>
      <w:color w:val="auto"/>
      <w:sz w:val="12"/>
      <w:szCs w:val="20"/>
      <w:lang w:val="en-CA" w:eastAsia="zh-CN" w:bidi="hi-IN"/>
    </w:rPr>
  </w:style>
  <w:style w:type="paragraph" w:styleId="LetheadPC">
    <w:name w:val="LetheadPC"/>
    <w:qFormat/>
    <w:pPr>
      <w:widowControl/>
      <w:bidi w:val="0"/>
      <w:jc w:val="end"/>
    </w:pPr>
    <w:rPr>
      <w:rFonts w:ascii="Times New Roman" w:hAnsi="Times New Roman" w:eastAsia="Times New Roman" w:cs="Times New Roman"/>
      <w:color w:val="auto"/>
      <w:sz w:val="20"/>
      <w:szCs w:val="20"/>
      <w:lang w:val="en-CA" w:eastAsia="zh-CN" w:bidi="hi-IN"/>
    </w:rPr>
  </w:style>
  <w:style w:type="paragraph" w:styleId="LetterheadAddress">
    <w:name w:val="LetterheadAddress"/>
    <w:qFormat/>
    <w:pPr>
      <w:widowControl/>
      <w:bidi w:val="0"/>
      <w:spacing w:before="120" w:after="0"/>
    </w:pPr>
    <w:rPr>
      <w:rFonts w:ascii="Times New Roman" w:hAnsi="Times New Roman" w:eastAsia="Times New Roman" w:cs="Times New Roman"/>
      <w:caps/>
      <w:color w:val="auto"/>
      <w:sz w:val="17"/>
      <w:szCs w:val="20"/>
      <w:lang w:val="en-CA" w:eastAsia="zh-CN" w:bidi="hi-IN"/>
    </w:rPr>
  </w:style>
  <w:style w:type="paragraph" w:styleId="Schwabe">
    <w:name w:val="Schwabe"/>
    <w:qFormat/>
    <w:pPr>
      <w:widowControl/>
      <w:bidi w:val="0"/>
    </w:pPr>
    <w:rPr>
      <w:rFonts w:ascii="Times New Roman" w:hAnsi="Times New Roman" w:eastAsia="Times New Roman" w:cs="Times New Roman"/>
      <w:b/>
      <w:smallCaps/>
      <w:color w:val="auto"/>
      <w:spacing w:val="-40"/>
      <w:position w:val="-2"/>
      <w:sz w:val="62"/>
      <w:szCs w:val="20"/>
      <w:lang w:val="en-CA" w:eastAsia="zh-CN" w:bidi="hi-IN"/>
    </w:rPr>
  </w:style>
  <w:style w:type="paragraph" w:styleId="Williamson">
    <w:name w:val="Williamson"/>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Wyatt">
    <w:name w:val="Wyatt"/>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2001-03-20T23:01:00Z</dcterms:created>
  <dc:creator>kbe</dc:creator>
  <dc:description/>
  <dc:language>en-CA</dc:language>
  <cp:lastModifiedBy>kbe</cp:lastModifiedBy>
  <cp:lastPrinted>2001-03-20T17:07:00Z</cp:lastPrinted>
  <dcterms:modified xsi:type="dcterms:W3CDTF">2001-03-20T23:01:00Z</dcterms:modified>
  <cp:revision>2</cp:revision>
  <dc:subject/>
  <dc:title>WP-02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PDX/071000/121831/KBE/892649.1</vt:lpwstr>
  </property>
</Properties>
</file>