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March 16, 2001</w:t>
      </w:r>
    </w:p>
    <w:p>
      <w:pPr>
        <w:pStyle w:val="Normal"/>
        <w:rPr/>
      </w:pPr>
      <w:r>
        <w:rPr/>
      </w:r>
    </w:p>
    <w:p>
      <w:pPr>
        <w:pStyle w:val="Normal"/>
        <w:rPr/>
      </w:pPr>
      <w:r>
        <w:rPr/>
        <w:t>Paul M. Murphy</w:t>
      </w:r>
    </w:p>
    <w:p>
      <w:pPr>
        <w:pStyle w:val="Normal"/>
        <w:rPr/>
      </w:pPr>
      <w:r>
        <w:rPr/>
        <w:t>Murphy &amp; Buchal LLP</w:t>
      </w:r>
    </w:p>
    <w:p>
      <w:pPr>
        <w:pStyle w:val="Normal"/>
        <w:rPr/>
      </w:pPr>
      <w:r>
        <w:rPr/>
        <w:t>1500 S.W. First Avenue, Suite 1135</w:t>
      </w:r>
    </w:p>
    <w:p>
      <w:pPr>
        <w:pStyle w:val="Normal"/>
        <w:rPr/>
      </w:pPr>
      <w:r>
        <w:rPr/>
        <w:t>Portland, Oregon 97201</w:t>
      </w:r>
    </w:p>
    <w:p>
      <w:pPr>
        <w:pStyle w:val="Normal"/>
        <w:ind w:hanging="3600" w:start="3600" w:end="0"/>
        <w:rPr/>
      </w:pPr>
      <w:r>
        <w:rPr/>
        <w:t>503-227-1101</w:t>
      </w:r>
    </w:p>
    <w:p>
      <w:pPr>
        <w:pStyle w:val="Normal"/>
        <w:ind w:hanging="2880" w:start="2880" w:end="0"/>
        <w:rPr/>
      </w:pPr>
      <w:r>
        <w:rPr/>
        <w:t>503-227-1034 (fax)</w:t>
      </w:r>
    </w:p>
    <w:p>
      <w:pPr>
        <w:pStyle w:val="Normal"/>
        <w:rPr/>
      </w:pPr>
      <w:r>
        <w:rPr/>
        <w:t>pmurphy@mbllp.com</w:t>
      </w:r>
    </w:p>
    <w:p>
      <w:pPr>
        <w:pStyle w:val="Normal"/>
        <w:rPr/>
      </w:pPr>
      <w:r>
        <w:rPr/>
      </w:r>
    </w:p>
    <w:p>
      <w:pPr>
        <w:pStyle w:val="Heading1"/>
        <w:ind w:hanging="0" w:start="0"/>
        <w:rPr/>
      </w:pPr>
      <w:r>
        <w:rPr/>
        <w:t>DATA RESPONSE</w:t>
      </w:r>
    </w:p>
    <w:p>
      <w:pPr>
        <w:pStyle w:val="Normal"/>
        <w:jc w:val="center"/>
        <w:rPr>
          <w:rFonts w:ascii="Arial" w:hAnsi="Arial" w:cs="Arial"/>
        </w:rPr>
      </w:pPr>
      <w:r>
        <w:rPr>
          <w:rFonts w:cs="Arial" w:ascii="Arial" w:hAnsi="Arial"/>
        </w:rPr>
      </w:r>
    </w:p>
    <w:p>
      <w:pPr>
        <w:pStyle w:val="Normal"/>
        <w:rPr/>
      </w:pPr>
      <w:r>
        <w:rPr/>
        <w:t>Request No.</w:t>
        <w:tab/>
        <w:tab/>
        <w:t>DS-NI:003</w:t>
        <w:br/>
        <w:t>Exhibit:</w:t>
        <w:tab/>
        <w:tab/>
        <w:t>WP-02-E-JCG-01, E-JCG-02</w:t>
      </w:r>
    </w:p>
    <w:p>
      <w:pPr>
        <w:pStyle w:val="Normal"/>
        <w:rPr/>
      </w:pPr>
      <w:r>
        <w:rPr/>
        <w:t>Testimony of:</w:t>
        <w:tab/>
        <w:tab/>
        <w:t>Joint Customer Group Panel</w:t>
      </w:r>
    </w:p>
    <w:p>
      <w:pPr>
        <w:pStyle w:val="Normal"/>
        <w:rPr/>
      </w:pPr>
      <w:r>
        <w:rPr/>
        <w:t>Page(s):</w:t>
        <w:tab/>
        <w:tab/>
        <w:t>not specified</w:t>
      </w:r>
    </w:p>
    <w:p>
      <w:pPr>
        <w:pStyle w:val="Normal"/>
        <w:rPr/>
      </w:pPr>
      <w:r>
        <w:rPr/>
        <w:t>Line(s):</w:t>
        <w:tab/>
        <w:tab/>
        <w:t>not specified</w:t>
      </w:r>
    </w:p>
    <w:p>
      <w:pPr>
        <w:pStyle w:val="Normal"/>
        <w:rPr/>
      </w:pPr>
      <w:r>
        <w:rPr/>
      </w:r>
    </w:p>
    <w:p>
      <w:pPr>
        <w:pStyle w:val="Normal"/>
        <w:rPr/>
      </w:pPr>
      <w:r>
        <w:rPr/>
        <w:t>REQUEST TEXT:  Please disclose and/or produce any and all communications from October 16, 2000 to the present, between any of the party representatives listed below and any representative of BPA concerning rates to be in effect for BPA's Fiscal Years 2002-2006, the interactions of such rates and customer contracts, or procedural aspects of these rate proceedings.</w:t>
      </w:r>
    </w:p>
    <w:p>
      <w:pPr>
        <w:pStyle w:val="Normal"/>
        <w:rPr/>
      </w:pPr>
      <w:r>
        <w:rPr/>
      </w:r>
    </w:p>
    <w:p>
      <w:pPr>
        <w:pStyle w:val="Normal"/>
        <w:rPr/>
      </w:pPr>
      <w:r>
        <w:rPr/>
        <w:t>Terry Mundorf (WPAG)</w:t>
      </w:r>
    </w:p>
    <w:p>
      <w:pPr>
        <w:pStyle w:val="Normal"/>
        <w:rPr/>
      </w:pPr>
      <w:r>
        <w:rPr/>
        <w:t>Lon Peters (PGP)</w:t>
      </w:r>
    </w:p>
    <w:p>
      <w:pPr>
        <w:pStyle w:val="Normal"/>
        <w:rPr/>
      </w:pPr>
      <w:r>
        <w:rPr/>
        <w:t>Linc Wolverton (ICNU)</w:t>
      </w:r>
    </w:p>
    <w:p>
      <w:pPr>
        <w:pStyle w:val="Normal"/>
        <w:rPr/>
      </w:pPr>
      <w:r>
        <w:rPr/>
        <w:t>Scott Brattebo (PacifiCorp)</w:t>
      </w:r>
    </w:p>
    <w:p>
      <w:pPr>
        <w:pStyle w:val="Normal"/>
        <w:rPr/>
      </w:pPr>
      <w:r>
        <w:rPr/>
        <w:t>Kevin Clark (Seattle City Light)</w:t>
      </w:r>
    </w:p>
    <w:p>
      <w:pPr>
        <w:pStyle w:val="Normal"/>
        <w:rPr/>
      </w:pPr>
      <w:r>
        <w:rPr/>
        <w:t>David Hoff (PSE)</w:t>
      </w:r>
    </w:p>
    <w:p>
      <w:pPr>
        <w:pStyle w:val="Normal"/>
        <w:rPr/>
      </w:pPr>
      <w:r>
        <w:rPr/>
        <w:t>Geoff Carr (Northwest Requirements Utilities)</w:t>
      </w:r>
    </w:p>
    <w:p>
      <w:pPr>
        <w:pStyle w:val="Normal"/>
        <w:rPr/>
      </w:pPr>
      <w:r>
        <w:rPr/>
        <w:t>Dennis Parrish (Market Access Coalition Group)</w:t>
      </w:r>
    </w:p>
    <w:p>
      <w:pPr>
        <w:pStyle w:val="Normal"/>
        <w:rPr/>
      </w:pPr>
      <w:r>
        <w:rPr/>
        <w:t>Pam Jacklin (PacifiCorp)</w:t>
      </w:r>
    </w:p>
    <w:p>
      <w:pPr>
        <w:pStyle w:val="Normal"/>
        <w:rPr/>
      </w:pPr>
      <w:r>
        <w:rPr/>
        <w:t>Peter Richardson (PPC)</w:t>
      </w:r>
    </w:p>
    <w:p>
      <w:pPr>
        <w:pStyle w:val="Normal"/>
        <w:rPr/>
      </w:pPr>
      <w:r>
        <w:rPr/>
        <w:t>Kyle Sciuchetti (PPC)</w:t>
      </w:r>
    </w:p>
    <w:p>
      <w:pPr>
        <w:pStyle w:val="Normal"/>
        <w:rPr/>
      </w:pPr>
      <w:r>
        <w:rPr/>
        <w:t>Ray Kindley (PGP)</w:t>
      </w:r>
    </w:p>
    <w:p>
      <w:pPr>
        <w:pStyle w:val="Normal"/>
        <w:rPr/>
      </w:pPr>
      <w:r>
        <w:rPr/>
        <w:t>Jay Waldron (PGP)</w:t>
      </w:r>
    </w:p>
    <w:p>
      <w:pPr>
        <w:pStyle w:val="Normal"/>
        <w:rPr/>
      </w:pPr>
      <w:r>
        <w:rPr/>
        <w:t>Doug Brawley (PNGC)</w:t>
      </w:r>
    </w:p>
    <w:p>
      <w:pPr>
        <w:pStyle w:val="Normal"/>
        <w:rPr/>
      </w:pPr>
      <w:r>
        <w:rPr/>
        <w:t>Eric Johnson (PNGC)</w:t>
      </w:r>
    </w:p>
    <w:p>
      <w:pPr>
        <w:pStyle w:val="Normal"/>
        <w:rPr/>
      </w:pPr>
      <w:r>
        <w:rPr/>
        <w:t>Darcy Norville (PGE)</w:t>
      </w:r>
    </w:p>
    <w:p>
      <w:pPr>
        <w:pStyle w:val="Normal"/>
        <w:rPr/>
      </w:pPr>
      <w:r>
        <w:rPr/>
        <w:t>Lynn Williams (PGE)</w:t>
      </w:r>
    </w:p>
    <w:p>
      <w:pPr>
        <w:pStyle w:val="Normal"/>
        <w:rPr/>
      </w:pPr>
      <w:r>
        <w:rPr/>
        <w:t>Steve Weiss (Northwest Energy Coalition)</w:t>
      </w:r>
    </w:p>
    <w:p>
      <w:pPr>
        <w:pStyle w:val="Normal"/>
        <w:rPr/>
      </w:pPr>
      <w:r>
        <w:rPr/>
        <w:t>Mark Hellman (OPUC)</w:t>
      </w:r>
    </w:p>
    <w:p>
      <w:pPr>
        <w:pStyle w:val="Normal"/>
        <w:rPr/>
      </w:pPr>
      <w:r>
        <w:rPr/>
      </w:r>
    </w:p>
    <w:p>
      <w:pPr>
        <w:pStyle w:val="Normal"/>
        <w:rPr/>
      </w:pPr>
      <w:r>
        <w:rPr/>
      </w:r>
    </w:p>
    <w:p>
      <w:pPr>
        <w:pStyle w:val="Normal"/>
        <w:rPr/>
      </w:pPr>
      <w:r>
        <w:rPr/>
        <w:t>RESPONSE TEXT:  Geoff Carr sent 2 or 3 e-mails to Byrne Lovell of BPA in December, 2000 pertaining to the operation of the “toolkit” model.  The e-mails were not retained on Mr. Carr’s computer and neither Mr. Carr nor NRU has a hard copy or other copy of the communication.  To the extent this request may refer to communications or documents evidencing communications of representatives of other parties with BPA, NRU objects to the question as over broad and burdensome, however, assuming the request is intended to apply to communications by other parties, NRU has no documents that would be responsive and NRU is not aware of such communications.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cc:</w:t>
        <w:tab/>
        <w:t>All parties on service list (via electronic mail)</w:t>
      </w:r>
    </w:p>
    <w:sectPr>
      <w:footerReference w:type="default" r:id="rId2"/>
      <w:type w:val="nextPage"/>
      <w:pgSz w:w="12240" w:h="15840"/>
      <w:pgMar w:left="1800" w:right="1800" w:gutter="0" w:header="0" w:top="1440" w:footer="1431" w:bottom="148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end"/>
      <w:rPr/>
    </w:pPr>
    <w:r>
      <w:rPr/>
      <w:t>DATA RESPONSE TO: PG-NI:003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2001-03-19T19:11:00Z</dcterms:created>
  <dc:creator>Lon L. Peters</dc:creator>
  <dc:description/>
  <dc:language>en-CA</dc:language>
  <cp:lastModifiedBy>Joel C. Merkel</cp:lastModifiedBy>
  <cp:lastPrinted>2001-03-19T13:40:00Z</cp:lastPrinted>
  <dcterms:modified xsi:type="dcterms:W3CDTF">2001-03-19T19:11:00Z</dcterms:modified>
  <cp:revision>2</cp:revision>
  <dc:subject/>
  <dc:title>DATA REQUEST – PG-BPA:___</dc:title>
</cp:coreProperties>
</file>