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media/image1.wmf" ContentType="image/x-wmf"/>
  <Override PartName="/word/media/image2.png" ContentType="image/png"/>
  <Override PartName="/word/media/image3.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sz w:val="28"/>
        </w:rPr>
      </w:pPr>
      <w:r>
        <w:rPr>
          <w:b/>
          <w:sz w:val="28"/>
        </w:rPr>
        <w:t>Residential Broadband Access</w:t>
      </w:r>
    </w:p>
    <w:p>
      <w:pPr>
        <w:pStyle w:val="Normal"/>
        <w:rPr>
          <w:b/>
          <w:sz w:val="24"/>
        </w:rPr>
      </w:pPr>
      <w:r>
        <w:rPr>
          <w:b/>
          <w:sz w:val="24"/>
        </w:rPr>
      </w:r>
    </w:p>
    <w:p>
      <w:pPr>
        <w:pStyle w:val="Normal"/>
        <w:rPr>
          <w:sz w:val="24"/>
        </w:rPr>
      </w:pPr>
      <w:r>
        <w:rPr>
          <w:sz w:val="24"/>
        </w:rPr>
      </w:r>
    </w:p>
    <w:p>
      <w:pPr>
        <w:pStyle w:val="Normal"/>
        <w:rPr>
          <w:sz w:val="24"/>
        </w:rPr>
      </w:pPr>
      <w:r>
        <w:rPr>
          <w:sz w:val="24"/>
        </w:rPr>
        <w:t xml:space="preserve">The most popular flavor of digital subscriber line (DSL) is Asymmetrical DSL.  ADSL is primarily a residential offering and most service providers are deploying this technology because it allows customers to use one line for both data and voice.  As the name implies, ADSL transmits data at asymmetrical rates in the downstream and upstream paths. Downstream speeds range from 1.5 Mbps to 8 Mbps and upstream speeds range from 64 Kbps to 640 Kbps depending on the customer's distance from the telco's central office. </w:t>
      </w:r>
    </w:p>
    <w:p>
      <w:pPr>
        <w:pStyle w:val="Normal"/>
        <w:rPr>
          <w:sz w:val="24"/>
        </w:rPr>
      </w:pPr>
      <w:r>
        <w:rPr>
          <w:sz w:val="24"/>
        </w:rPr>
      </w:r>
    </w:p>
    <w:p>
      <w:pPr>
        <w:pStyle w:val="Normal"/>
        <w:rPr>
          <w:sz w:val="24"/>
        </w:rPr>
      </w:pPr>
      <w:r>
        <w:rPr>
          <w:sz w:val="24"/>
        </w:rPr>
        <w:t>ADSL Lite is a variant of ADSL that is based on the G.Lite industry standard for DSL modems.  It is also targeted at the residential market.  It is called "Lite" because it offers maximum transmission speeds of 1.5 Mbps downstream and 512 Kbps upstream.  The major benefit of ADSL Lite (G.Lite) is that subscribers can install the modem themselves since it does not require a splitter in the home to separate voice from data traffic.  This fact should eliminate the need for an installation truck roll about 85% of the time, which means that ADSL Lite will effectively remove the biggest gating factor in the deployment process.  The industry tends to use the general term DSL interchangeably with ADSL and G.Lite when referring to the residential market.</w:t>
      </w:r>
    </w:p>
    <w:p>
      <w:pPr>
        <w:pStyle w:val="Normal"/>
        <w:rPr>
          <w:sz w:val="24"/>
        </w:rPr>
      </w:pPr>
      <w:r>
        <w:rPr>
          <w:sz w:val="24"/>
        </w:rPr>
      </w:r>
    </w:p>
    <w:p>
      <w:pPr>
        <w:pStyle w:val="Normal"/>
        <w:rPr>
          <w:sz w:val="24"/>
        </w:rPr>
      </w:pPr>
      <w:r>
        <w:rPr>
          <w:sz w:val="24"/>
        </w:rPr>
      </w:r>
    </w:p>
    <w:p>
      <w:pPr>
        <w:pStyle w:val="Normal"/>
        <w:numPr>
          <w:ilvl w:val="0"/>
          <w:numId w:val="0"/>
        </w:numPr>
        <w:outlineLvl w:val="0"/>
        <w:rPr>
          <w:b/>
          <w:sz w:val="24"/>
        </w:rPr>
      </w:pPr>
      <w:r>
        <w:rPr>
          <w:b/>
          <w:sz w:val="24"/>
        </w:rPr>
        <w:t>DSL Subscribers - A Third Quarter (September) Progress Report</w:t>
      </w:r>
    </w:p>
    <w:p>
      <w:pPr>
        <w:pStyle w:val="Normal"/>
        <w:rPr>
          <w:b/>
          <w:sz w:val="24"/>
        </w:rPr>
      </w:pPr>
      <w:r>
        <w:rPr>
          <w:b/>
          <w:sz w:val="24"/>
        </w:rPr>
      </w:r>
    </w:p>
    <w:p>
      <w:pPr>
        <w:pStyle w:val="Normal"/>
        <w:rPr>
          <w:sz w:val="24"/>
        </w:rPr>
      </w:pPr>
      <w:r>
        <w:rPr>
          <w:sz w:val="24"/>
        </w:rPr>
        <w:t>The dominant service providers in the DSL market include incumbent local exchange carriers (ILECs): BellSouth, SBC (including Ameritech), US West (Qwest) and Verizon (formerly GTE and Bell Atlantic) and competitive local exchange carriers (CLECs):  Covad Communications, NorthPoint Communications, and Rhythms NetConnect.  These service providers account for 85% to 90% of the domestic DSL market.</w:t>
      </w:r>
    </w:p>
    <w:p>
      <w:pPr>
        <w:pStyle w:val="Normal"/>
        <w:rPr>
          <w:sz w:val="24"/>
        </w:rPr>
      </w:pPr>
      <w:r>
        <w:rPr>
          <w:sz w:val="24"/>
        </w:rPr>
      </w:r>
    </w:p>
    <w:tbl>
      <w:tblPr>
        <w:tblW w:w="8658" w:type="dxa"/>
        <w:jc w:val="start"/>
        <w:tblInd w:w="0" w:type="dxa"/>
        <w:tblLayout w:type="fixed"/>
        <w:tblCellMar>
          <w:top w:w="0" w:type="dxa"/>
          <w:start w:w="108" w:type="dxa"/>
          <w:bottom w:w="0" w:type="dxa"/>
          <w:end w:w="108" w:type="dxa"/>
        </w:tblCellMar>
      </w:tblPr>
      <w:tblGrid>
        <w:gridCol w:w="2037"/>
        <w:gridCol w:w="1008"/>
        <w:gridCol w:w="1008"/>
        <w:gridCol w:w="1008"/>
        <w:gridCol w:w="1008"/>
        <w:gridCol w:w="1008"/>
        <w:gridCol w:w="1581"/>
      </w:tblGrid>
      <w:tr>
        <w:trPr/>
        <w:tc>
          <w:tcPr>
            <w:tcW w:w="8658" w:type="dxa"/>
            <w:gridSpan w:val="7"/>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DSL Cumulative Subscribers (in Thousands)</w:t>
            </w:r>
          </w:p>
        </w:tc>
      </w:tr>
      <w:tr>
        <w:trPr/>
        <w:tc>
          <w:tcPr>
            <w:tcW w:w="2037" w:type="dxa"/>
            <w:tcBorders>
              <w:top w:val="single" w:sz="4" w:space="0" w:color="000000"/>
              <w:start w:val="single" w:sz="4" w:space="0" w:color="000000"/>
              <w:end w:val="single" w:sz="4" w:space="0" w:color="000000"/>
            </w:tcBorders>
          </w:tcPr>
          <w:p>
            <w:pPr>
              <w:pStyle w:val="Normal"/>
              <w:rPr>
                <w:b/>
              </w:rPr>
            </w:pPr>
            <w:r>
              <w:rPr>
                <w:b/>
              </w:rPr>
              <w:t>Service Provider</w:t>
            </w:r>
          </w:p>
        </w:tc>
        <w:tc>
          <w:tcPr>
            <w:tcW w:w="1008" w:type="dxa"/>
            <w:tcBorders>
              <w:top w:val="single" w:sz="4" w:space="0" w:color="000000"/>
              <w:start w:val="single" w:sz="4" w:space="0" w:color="000000"/>
              <w:end w:val="single" w:sz="4" w:space="0" w:color="000000"/>
            </w:tcBorders>
          </w:tcPr>
          <w:p>
            <w:pPr>
              <w:pStyle w:val="Normal"/>
              <w:jc w:val="end"/>
              <w:rPr>
                <w:b/>
              </w:rPr>
            </w:pPr>
            <w:r>
              <w:rPr>
                <w:b/>
              </w:rPr>
              <w:t>3Q99</w:t>
            </w:r>
          </w:p>
        </w:tc>
        <w:tc>
          <w:tcPr>
            <w:tcW w:w="1008" w:type="dxa"/>
            <w:tcBorders>
              <w:top w:val="single" w:sz="4" w:space="0" w:color="000000"/>
              <w:start w:val="single" w:sz="4" w:space="0" w:color="000000"/>
              <w:end w:val="single" w:sz="4" w:space="0" w:color="000000"/>
            </w:tcBorders>
          </w:tcPr>
          <w:p>
            <w:pPr>
              <w:pStyle w:val="Normal"/>
              <w:jc w:val="end"/>
              <w:rPr>
                <w:b/>
              </w:rPr>
            </w:pPr>
            <w:r>
              <w:rPr>
                <w:b/>
              </w:rPr>
              <w:t>4Q99</w:t>
            </w:r>
          </w:p>
        </w:tc>
        <w:tc>
          <w:tcPr>
            <w:tcW w:w="1008" w:type="dxa"/>
            <w:tcBorders>
              <w:top w:val="single" w:sz="4" w:space="0" w:color="000000"/>
              <w:start w:val="single" w:sz="4" w:space="0" w:color="000000"/>
              <w:end w:val="single" w:sz="4" w:space="0" w:color="000000"/>
            </w:tcBorders>
          </w:tcPr>
          <w:p>
            <w:pPr>
              <w:pStyle w:val="Normal"/>
              <w:jc w:val="end"/>
              <w:rPr>
                <w:b/>
              </w:rPr>
            </w:pPr>
            <w:r>
              <w:rPr>
                <w:b/>
              </w:rPr>
              <w:t>1Q00</w:t>
            </w:r>
          </w:p>
        </w:tc>
        <w:tc>
          <w:tcPr>
            <w:tcW w:w="1008" w:type="dxa"/>
            <w:tcBorders>
              <w:top w:val="single" w:sz="4" w:space="0" w:color="000000"/>
              <w:start w:val="single" w:sz="4" w:space="0" w:color="000000"/>
              <w:end w:val="single" w:sz="4" w:space="0" w:color="000000"/>
            </w:tcBorders>
          </w:tcPr>
          <w:p>
            <w:pPr>
              <w:pStyle w:val="Normal"/>
              <w:jc w:val="end"/>
              <w:rPr>
                <w:b/>
              </w:rPr>
            </w:pPr>
            <w:r>
              <w:rPr>
                <w:b/>
              </w:rPr>
              <w:t>2Q00</w:t>
            </w:r>
          </w:p>
        </w:tc>
        <w:tc>
          <w:tcPr>
            <w:tcW w:w="1008" w:type="dxa"/>
            <w:tcBorders>
              <w:top w:val="single" w:sz="4" w:space="0" w:color="000000"/>
              <w:start w:val="single" w:sz="4" w:space="0" w:color="000000"/>
              <w:end w:val="single" w:sz="4" w:space="0" w:color="000000"/>
            </w:tcBorders>
          </w:tcPr>
          <w:p>
            <w:pPr>
              <w:pStyle w:val="Normal"/>
              <w:jc w:val="end"/>
              <w:rPr>
                <w:b/>
              </w:rPr>
            </w:pPr>
            <w:r>
              <w:rPr>
                <w:b/>
              </w:rPr>
              <w:t>3Q00</w:t>
            </w:r>
          </w:p>
        </w:tc>
        <w:tc>
          <w:tcPr>
            <w:tcW w:w="1581" w:type="dxa"/>
            <w:tcBorders>
              <w:top w:val="single" w:sz="4" w:space="0" w:color="000000"/>
              <w:start w:val="single" w:sz="4" w:space="0" w:color="000000"/>
              <w:end w:val="single" w:sz="4" w:space="0" w:color="000000"/>
            </w:tcBorders>
          </w:tcPr>
          <w:p>
            <w:pPr>
              <w:pStyle w:val="Normal"/>
              <w:jc w:val="end"/>
              <w:rPr>
                <w:b/>
              </w:rPr>
            </w:pPr>
            <w:r>
              <w:rPr>
                <w:b/>
              </w:rPr>
              <w:t>CY00 Target</w:t>
            </w:r>
          </w:p>
        </w:tc>
      </w:tr>
      <w:tr>
        <w:trPr>
          <w:trHeight w:val="120" w:hRule="exact"/>
        </w:trPr>
        <w:tc>
          <w:tcPr>
            <w:tcW w:w="2037"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rPr>
                <w:b/>
              </w:rPr>
            </w:pPr>
            <w:r>
              <w:rPr>
                <w:b/>
              </w:rPr>
            </w:r>
          </w:p>
        </w:tc>
        <w:tc>
          <w:tcPr>
            <w:tcW w:w="1008"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008"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008"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008"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008"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581"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b/>
                <w:i/>
                <w:i/>
              </w:rPr>
            </w:pPr>
            <w:r>
              <w:rPr>
                <w:b/>
                <w:i/>
              </w:rPr>
              <w:t>ILECs</w:t>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i/>
                <w:i/>
              </w:rPr>
            </w:pPr>
            <w:r>
              <w:rPr>
                <w:b/>
                <w:i/>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BellSouth</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30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49</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74</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134</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pPr>
            <w:r>
              <w:rPr/>
              <w:t>200</w:t>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SBC</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59 e</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115</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201</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399</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516</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1,000 </w:t>
            </w:r>
            <w:r>
              <w:rPr>
                <w:vertAlign w:val="superscript"/>
              </w:rPr>
              <w:t>(1)</w:t>
            </w:r>
            <w:r>
              <w:rPr/>
              <w:t xml:space="preserve"> e </w:t>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 xml:space="preserve">US West </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80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110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135</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175</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213</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pPr>
            <w:r>
              <w:rPr/>
              <w:t>250</w:t>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Verizon</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50 e</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87</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150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221</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351</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pPr>
            <w:r>
              <w:rPr/>
              <w:t>500 e</w:t>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pPr>
            <w:r>
              <w:rPr/>
              <w:t>Subtotal</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209 e</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342</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535</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869</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1,214</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pPr>
            <w:r>
              <w:rPr/>
              <w:t>1,950</w:t>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pPr>
            <w:r>
              <w:rPr/>
              <w:t>As % of Total</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81%</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79%</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78%</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79%</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78%</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pPr>
            <w:r>
              <w:rPr/>
              <w:t>81%</w:t>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b/>
                <w:i/>
                <w:i/>
              </w:rPr>
            </w:pPr>
            <w:r>
              <w:rPr>
                <w:b/>
                <w:i/>
              </w:rPr>
              <w:t>CLECs</w:t>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end"/>
              <w:rPr>
                <w:b/>
                <w:i/>
                <w:i/>
              </w:rPr>
            </w:pPr>
            <w:r>
              <w:rPr>
                <w:b/>
                <w:i/>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Covad</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31</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57</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93</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138</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205</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pPr>
            <w:r>
              <w:rPr/>
              <w:t>270</w:t>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NorthPoint</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11.8</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23.5</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41.3</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62</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87.3</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pPr>
            <w:r>
              <w:rPr/>
              <w:t>125</w:t>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Rhythms</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6.7</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12.5</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20</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31.1</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47</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pPr>
            <w:r>
              <w:rPr/>
              <w:t>67</w:t>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pPr>
            <w:r>
              <w:rPr/>
              <w:t>Subtotal</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49.5</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93</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154.3</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231.1</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339.3</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pPr>
            <w:r>
              <w:rPr/>
              <w:t>462</w:t>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pPr>
            <w:r>
              <w:rPr/>
              <w:t>As % of Total</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19%</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21%</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22%</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21%</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pPr>
            <w:r>
              <w:rPr/>
              <w:t>22%</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pPr>
            <w:r>
              <w:rPr/>
              <w:t>19%</w:t>
            </w:r>
          </w:p>
        </w:tc>
      </w:tr>
      <w:tr>
        <w:trPr/>
        <w:tc>
          <w:tcPr>
            <w:tcW w:w="2037" w:type="dxa"/>
            <w:tcBorders>
              <w:top w:val="single" w:sz="4" w:space="0" w:color="000000"/>
              <w:start w:val="single" w:sz="4" w:space="0" w:color="000000"/>
              <w:bottom w:val="single" w:sz="4" w:space="0" w:color="000000"/>
              <w:end w:val="single" w:sz="4" w:space="0" w:color="000000"/>
            </w:tcBorders>
          </w:tcPr>
          <w:p>
            <w:pPr>
              <w:pStyle w:val="Normal"/>
              <w:rPr>
                <w:b/>
              </w:rPr>
            </w:pPr>
            <w:r>
              <w:rPr>
                <w:b/>
              </w:rPr>
              <w:t>Total</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258.5</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435</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690.3</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1,100.1</w:t>
            </w:r>
          </w:p>
        </w:tc>
        <w:tc>
          <w:tcPr>
            <w:tcW w:w="1008"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1,553.3</w:t>
            </w:r>
          </w:p>
        </w:tc>
        <w:tc>
          <w:tcPr>
            <w:tcW w:w="1581"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2,412</w:t>
            </w:r>
          </w:p>
        </w:tc>
      </w:tr>
    </w:tbl>
    <w:p>
      <w:pPr>
        <w:pStyle w:val="Normal"/>
        <w:rPr/>
      </w:pPr>
      <w:r>
        <w:rPr/>
        <w:t xml:space="preserve">Note:  </w:t>
        <w:tab/>
        <w:t>e = estimate</w:t>
      </w:r>
    </w:p>
    <w:p>
      <w:pPr>
        <w:pStyle w:val="Normal"/>
        <w:ind w:firstLine="720" w:end="0"/>
        <w:rPr/>
      </w:pPr>
      <w:r>
        <w:rPr/>
        <w:t>(1) SBC indicates its 1 million subscriber target will likely occur during the first quarter of 2001</w:t>
      </w:r>
    </w:p>
    <w:p>
      <w:pPr>
        <w:pStyle w:val="Normal"/>
        <w:rPr>
          <w:i/>
          <w:i/>
        </w:rPr>
      </w:pPr>
      <w:r>
        <w:rPr>
          <w:i/>
        </w:rPr>
        <w:t xml:space="preserve">Source:  Company documents and Raymond James' November 13, 2000 analyst report.           </w:t>
        <w:tab/>
      </w:r>
    </w:p>
    <w:p>
      <w:pPr>
        <w:pStyle w:val="Normal"/>
        <w:rPr>
          <w:sz w:val="24"/>
        </w:rPr>
      </w:pPr>
      <w:r>
        <w:rPr>
          <w:sz w:val="24"/>
        </w:rPr>
        <w:t xml:space="preserve">The previous installed volumes include self-installs. The ILECs estimate that self-installs have a success rate of 75% to 85%.  During the third quarter 2000 DSL self-installs were reported by SBC to be 50%, by Verizon to be 90%, and by BellSouth to be 90% of DSL net adds. </w:t>
      </w:r>
    </w:p>
    <w:p>
      <w:pPr>
        <w:pStyle w:val="Normal"/>
        <w:rPr>
          <w:sz w:val="24"/>
        </w:rPr>
      </w:pPr>
      <w:r>
        <w:rPr>
          <w:sz w:val="24"/>
        </w:rPr>
      </w:r>
    </w:p>
    <w:p>
      <w:pPr>
        <w:pStyle w:val="Normal"/>
        <w:rPr>
          <w:sz w:val="24"/>
        </w:rPr>
      </w:pPr>
      <w:r>
        <w:rPr>
          <w:sz w:val="24"/>
        </w:rPr>
        <w:t xml:space="preserve">DSL providers still struggle with several systematic problems including line provisioning and installation issues, incomplete back-office systems, and limited installation forces which continue to affecting the roll-out of DSL. </w:t>
      </w:r>
    </w:p>
    <w:p>
      <w:pPr>
        <w:pStyle w:val="Normal"/>
        <w:rPr>
          <w:sz w:val="24"/>
        </w:rPr>
      </w:pPr>
      <w:r>
        <w:rPr>
          <w:sz w:val="24"/>
        </w:rPr>
      </w:r>
    </w:p>
    <w:p>
      <w:pPr>
        <w:pStyle w:val="Normal"/>
        <w:rPr>
          <w:sz w:val="24"/>
        </w:rPr>
      </w:pPr>
      <w:r>
        <w:rPr>
          <w:sz w:val="24"/>
        </w:rPr>
      </w:r>
    </w:p>
    <w:p>
      <w:pPr>
        <w:pStyle w:val="Normal"/>
        <w:numPr>
          <w:ilvl w:val="0"/>
          <w:numId w:val="0"/>
        </w:numPr>
        <w:outlineLvl w:val="0"/>
        <w:rPr>
          <w:b/>
          <w:sz w:val="24"/>
        </w:rPr>
      </w:pPr>
      <w:r>
        <w:rPr>
          <w:b/>
          <w:sz w:val="24"/>
        </w:rPr>
        <w:t>DSL Subscriber Forecast for US Residential Market</w:t>
      </w:r>
    </w:p>
    <w:p>
      <w:pPr>
        <w:pStyle w:val="Normal"/>
        <w:rPr>
          <w:b/>
          <w:sz w:val="24"/>
        </w:rPr>
      </w:pPr>
      <w:r>
        <w:rPr>
          <w:b/>
          <w:sz w:val="24"/>
        </w:rPr>
      </w:r>
    </w:p>
    <w:p>
      <w:pPr>
        <w:pStyle w:val="Normal"/>
        <w:rPr>
          <w:sz w:val="24"/>
        </w:rPr>
      </w:pPr>
      <w:r>
        <w:rPr>
          <w:sz w:val="24"/>
        </w:rPr>
        <w:t xml:space="preserve">The table below contains DSL forecast below developed by Gartner, Lehman Brothers, and International Data Corporation (IDC).  Given the actual cumulative installations by the dominate service providers, it appears that DSL deployment is ahead of schedule for 2000.  Year end 2000 estimates by Gartner and Lehman Brothers were achieved at the end of the third quarter.  </w:t>
      </w:r>
    </w:p>
    <w:p>
      <w:pPr>
        <w:pStyle w:val="Normal"/>
        <w:rPr>
          <w:sz w:val="24"/>
        </w:rPr>
      </w:pPr>
      <w:r>
        <w:rPr>
          <w:sz w:val="24"/>
        </w:rPr>
      </w:r>
    </w:p>
    <w:p>
      <w:pPr>
        <w:pStyle w:val="Normal"/>
        <w:rPr>
          <w:sz w:val="24"/>
        </w:rPr>
      </w:pPr>
      <w:r>
        <w:rPr>
          <w:sz w:val="24"/>
        </w:rPr>
        <w:t>The widespread introduction of "splitterless" technology allowing most end users to self-install, configure and provision was the major technology leap allowing the uptake in DSL in 2000.  This technology is also much more economical for the telecom companies, as they save the $100 - $150 per truck roll.  The ultimate objective is to integrate DSL into the PC as SBC has pioneered with Compaq.</w:t>
      </w:r>
    </w:p>
    <w:p>
      <w:pPr>
        <w:pStyle w:val="Normal"/>
        <w:rPr>
          <w:sz w:val="24"/>
        </w:rPr>
      </w:pPr>
      <w:r>
        <w:rPr>
          <w:sz w:val="24"/>
        </w:rPr>
      </w:r>
    </w:p>
    <w:tbl>
      <w:tblPr>
        <w:tblW w:w="8855" w:type="dxa"/>
        <w:jc w:val="start"/>
        <w:tblInd w:w="0" w:type="dxa"/>
        <w:tblLayout w:type="fixed"/>
        <w:tblCellMar>
          <w:top w:w="0" w:type="dxa"/>
          <w:start w:w="108" w:type="dxa"/>
          <w:bottom w:w="0" w:type="dxa"/>
          <w:end w:w="108" w:type="dxa"/>
        </w:tblCellMar>
      </w:tblPr>
      <w:tblGrid>
        <w:gridCol w:w="1638"/>
        <w:gridCol w:w="1202"/>
        <w:gridCol w:w="1203"/>
        <w:gridCol w:w="1203"/>
        <w:gridCol w:w="1203"/>
        <w:gridCol w:w="1203"/>
        <w:gridCol w:w="1203"/>
      </w:tblGrid>
      <w:tr>
        <w:trPr/>
        <w:tc>
          <w:tcPr>
            <w:tcW w:w="1638" w:type="dxa"/>
            <w:tcBorders>
              <w:top w:val="single" w:sz="4" w:space="0" w:color="000000"/>
              <w:start w:val="single" w:sz="4" w:space="0" w:color="000000"/>
              <w:end w:val="single" w:sz="4" w:space="0" w:color="000000"/>
            </w:tcBorders>
          </w:tcPr>
          <w:p>
            <w:pPr>
              <w:pStyle w:val="Normal"/>
              <w:rPr>
                <w:b/>
              </w:rPr>
            </w:pPr>
            <w:r>
              <w:rPr>
                <w:b/>
              </w:rPr>
              <w:t xml:space="preserve">Service (in 000s) </w:t>
            </w:r>
          </w:p>
        </w:tc>
        <w:tc>
          <w:tcPr>
            <w:tcW w:w="1202" w:type="dxa"/>
            <w:tcBorders>
              <w:top w:val="single" w:sz="4" w:space="0" w:color="000000"/>
              <w:start w:val="single" w:sz="4" w:space="0" w:color="000000"/>
              <w:end w:val="single" w:sz="4" w:space="0" w:color="000000"/>
            </w:tcBorders>
          </w:tcPr>
          <w:p>
            <w:pPr>
              <w:pStyle w:val="Normal"/>
              <w:jc w:val="end"/>
              <w:rPr>
                <w:b/>
              </w:rPr>
            </w:pPr>
            <w:r>
              <w:rPr>
                <w:b/>
              </w:rPr>
              <w:t>1999</w:t>
            </w:r>
          </w:p>
        </w:tc>
        <w:tc>
          <w:tcPr>
            <w:tcW w:w="1203" w:type="dxa"/>
            <w:tcBorders>
              <w:top w:val="single" w:sz="4" w:space="0" w:color="000000"/>
              <w:start w:val="single" w:sz="4" w:space="0" w:color="000000"/>
              <w:end w:val="single" w:sz="4" w:space="0" w:color="000000"/>
            </w:tcBorders>
          </w:tcPr>
          <w:p>
            <w:pPr>
              <w:pStyle w:val="Normal"/>
              <w:jc w:val="end"/>
              <w:rPr>
                <w:b/>
              </w:rPr>
            </w:pPr>
            <w:r>
              <w:rPr>
                <w:b/>
              </w:rPr>
              <w:t>2000</w:t>
            </w:r>
          </w:p>
        </w:tc>
        <w:tc>
          <w:tcPr>
            <w:tcW w:w="1203" w:type="dxa"/>
            <w:tcBorders>
              <w:top w:val="single" w:sz="4" w:space="0" w:color="000000"/>
              <w:start w:val="single" w:sz="4" w:space="0" w:color="000000"/>
              <w:end w:val="single" w:sz="4" w:space="0" w:color="000000"/>
            </w:tcBorders>
          </w:tcPr>
          <w:p>
            <w:pPr>
              <w:pStyle w:val="Normal"/>
              <w:jc w:val="end"/>
              <w:rPr>
                <w:b/>
              </w:rPr>
            </w:pPr>
            <w:r>
              <w:rPr>
                <w:b/>
              </w:rPr>
              <w:t>2001</w:t>
            </w:r>
          </w:p>
        </w:tc>
        <w:tc>
          <w:tcPr>
            <w:tcW w:w="1203" w:type="dxa"/>
            <w:tcBorders>
              <w:top w:val="single" w:sz="4" w:space="0" w:color="000000"/>
              <w:start w:val="single" w:sz="4" w:space="0" w:color="000000"/>
              <w:end w:val="single" w:sz="4" w:space="0" w:color="000000"/>
            </w:tcBorders>
          </w:tcPr>
          <w:p>
            <w:pPr>
              <w:pStyle w:val="Normal"/>
              <w:jc w:val="end"/>
              <w:rPr>
                <w:b/>
              </w:rPr>
            </w:pPr>
            <w:r>
              <w:rPr>
                <w:b/>
              </w:rPr>
              <w:t>2002</w:t>
            </w:r>
          </w:p>
        </w:tc>
        <w:tc>
          <w:tcPr>
            <w:tcW w:w="1203" w:type="dxa"/>
            <w:tcBorders>
              <w:top w:val="single" w:sz="4" w:space="0" w:color="000000"/>
              <w:start w:val="single" w:sz="4" w:space="0" w:color="000000"/>
              <w:end w:val="single" w:sz="4" w:space="0" w:color="000000"/>
            </w:tcBorders>
          </w:tcPr>
          <w:p>
            <w:pPr>
              <w:pStyle w:val="Normal"/>
              <w:jc w:val="end"/>
              <w:rPr>
                <w:b/>
              </w:rPr>
            </w:pPr>
            <w:r>
              <w:rPr>
                <w:b/>
              </w:rPr>
              <w:t>2003</w:t>
            </w:r>
          </w:p>
        </w:tc>
        <w:tc>
          <w:tcPr>
            <w:tcW w:w="1203" w:type="dxa"/>
            <w:tcBorders>
              <w:top w:val="single" w:sz="4" w:space="0" w:color="000000"/>
              <w:start w:val="single" w:sz="4" w:space="0" w:color="000000"/>
              <w:end w:val="single" w:sz="4" w:space="0" w:color="000000"/>
            </w:tcBorders>
          </w:tcPr>
          <w:p>
            <w:pPr>
              <w:pStyle w:val="Normal"/>
              <w:jc w:val="end"/>
              <w:rPr>
                <w:b/>
              </w:rPr>
            </w:pPr>
            <w:r>
              <w:rPr>
                <w:b/>
              </w:rPr>
              <w:t>2004</w:t>
            </w:r>
          </w:p>
        </w:tc>
      </w:tr>
      <w:tr>
        <w:trPr>
          <w:trHeight w:val="120" w:hRule="exact"/>
        </w:trPr>
        <w:tc>
          <w:tcPr>
            <w:tcW w:w="1638"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rPr>
                <w:b/>
              </w:rPr>
            </w:pPr>
            <w:r>
              <w:rPr>
                <w:b/>
              </w:rPr>
            </w:r>
          </w:p>
        </w:tc>
        <w:tc>
          <w:tcPr>
            <w:tcW w:w="1202"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203"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203"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203"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203"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203"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DSL (1)</w:t>
            </w:r>
          </w:p>
        </w:tc>
        <w:tc>
          <w:tcPr>
            <w:tcW w:w="1202" w:type="dxa"/>
            <w:tcBorders>
              <w:top w:val="single" w:sz="4" w:space="0" w:color="000000"/>
              <w:start w:val="single" w:sz="4" w:space="0" w:color="000000"/>
              <w:bottom w:val="single" w:sz="4" w:space="0" w:color="000000"/>
              <w:end w:val="single" w:sz="4" w:space="0" w:color="000000"/>
            </w:tcBorders>
          </w:tcPr>
          <w:p>
            <w:pPr>
              <w:pStyle w:val="Normal"/>
              <w:jc w:val="end"/>
              <w:rPr/>
            </w:pPr>
            <w:r>
              <w:rPr/>
              <w:t>440</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1,492</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3,009</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5,325</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7,523</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9,814</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DSL (2)</w:t>
            </w:r>
          </w:p>
        </w:tc>
        <w:tc>
          <w:tcPr>
            <w:tcW w:w="1202" w:type="dxa"/>
            <w:tcBorders>
              <w:top w:val="single" w:sz="4" w:space="0" w:color="000000"/>
              <w:start w:val="single" w:sz="4" w:space="0" w:color="000000"/>
              <w:bottom w:val="single" w:sz="4" w:space="0" w:color="000000"/>
              <w:end w:val="single" w:sz="4" w:space="0" w:color="000000"/>
            </w:tcBorders>
          </w:tcPr>
          <w:p>
            <w:pPr>
              <w:pStyle w:val="Normal"/>
              <w:jc w:val="end"/>
              <w:rPr/>
            </w:pPr>
            <w:r>
              <w:rPr/>
              <w:t>581</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1,517</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2,856</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4,138</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5,496</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6,910</w:t>
            </w:r>
          </w:p>
        </w:tc>
      </w:tr>
      <w:tr>
        <w:trPr/>
        <w:tc>
          <w:tcPr>
            <w:tcW w:w="1638" w:type="dxa"/>
            <w:tcBorders>
              <w:top w:val="single" w:sz="4" w:space="0" w:color="000000"/>
              <w:start w:val="single" w:sz="4" w:space="0" w:color="000000"/>
              <w:bottom w:val="single" w:sz="4" w:space="0" w:color="000000"/>
              <w:end w:val="single" w:sz="4" w:space="0" w:color="000000"/>
            </w:tcBorders>
          </w:tcPr>
          <w:p>
            <w:pPr>
              <w:pStyle w:val="Normal"/>
              <w:rPr/>
            </w:pPr>
            <w:r>
              <w:rPr/>
              <w:t>DSL (3)</w:t>
            </w:r>
          </w:p>
        </w:tc>
        <w:tc>
          <w:tcPr>
            <w:tcW w:w="1202" w:type="dxa"/>
            <w:tcBorders>
              <w:top w:val="single" w:sz="4" w:space="0" w:color="000000"/>
              <w:start w:val="single" w:sz="4" w:space="0" w:color="000000"/>
              <w:bottom w:val="single" w:sz="4" w:space="0" w:color="000000"/>
              <w:end w:val="single" w:sz="4" w:space="0" w:color="000000"/>
            </w:tcBorders>
          </w:tcPr>
          <w:p>
            <w:pPr>
              <w:pStyle w:val="Normal"/>
              <w:jc w:val="end"/>
              <w:rPr/>
            </w:pPr>
            <w:r>
              <w:rPr/>
              <w:t>520</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1,870</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4,110</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7,780</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12,570</w:t>
            </w:r>
          </w:p>
        </w:tc>
        <w:tc>
          <w:tcPr>
            <w:tcW w:w="1203" w:type="dxa"/>
            <w:tcBorders>
              <w:top w:val="single" w:sz="4" w:space="0" w:color="000000"/>
              <w:start w:val="single" w:sz="4" w:space="0" w:color="000000"/>
              <w:bottom w:val="single" w:sz="4" w:space="0" w:color="000000"/>
              <w:end w:val="single" w:sz="4" w:space="0" w:color="000000"/>
            </w:tcBorders>
          </w:tcPr>
          <w:p>
            <w:pPr>
              <w:pStyle w:val="Normal"/>
              <w:jc w:val="end"/>
              <w:rPr/>
            </w:pPr>
            <w:r>
              <w:rPr/>
              <w:t>16,341</w:t>
            </w:r>
          </w:p>
        </w:tc>
      </w:tr>
    </w:tbl>
    <w:p>
      <w:pPr>
        <w:pStyle w:val="Normal"/>
        <w:rPr>
          <w:i/>
          <w:i/>
        </w:rPr>
      </w:pPr>
      <w:r>
        <w:rPr>
          <w:i/>
        </w:rPr>
        <w:t>Source:</w:t>
        <w:tab/>
        <w:t xml:space="preserve"> (1   Gartner Dataquest (June 2000)</w:t>
      </w:r>
    </w:p>
    <w:p>
      <w:pPr>
        <w:pStyle w:val="Normal"/>
        <w:rPr>
          <w:i/>
          <w:i/>
        </w:rPr>
      </w:pPr>
      <w:r>
        <w:rPr>
          <w:i/>
        </w:rPr>
        <w:tab/>
        <w:t>(2)  Lehman Brothers (June 1999)</w:t>
      </w:r>
    </w:p>
    <w:p>
      <w:pPr>
        <w:pStyle w:val="Normal"/>
        <w:numPr>
          <w:ilvl w:val="0"/>
          <w:numId w:val="1"/>
        </w:numPr>
        <w:rPr>
          <w:i/>
          <w:i/>
        </w:rPr>
      </w:pPr>
      <w:r>
        <w:rPr>
          <w:i/>
        </w:rPr>
        <w:t>IDC (September 2000) does not include DSL wholesale lines which were forecast at 75k,</w:t>
      </w:r>
    </w:p>
    <w:p>
      <w:pPr>
        <w:pStyle w:val="Normal"/>
        <w:ind w:firstLine="720" w:end="0"/>
        <w:rPr>
          <w:i/>
          <w:i/>
        </w:rPr>
      </w:pPr>
      <w:r>
        <w:rPr>
          <w:i/>
        </w:rPr>
        <w:t xml:space="preserve">       </w:t>
      </w:r>
      <w:r>
        <w:rPr>
          <w:i/>
        </w:rPr>
        <w:t>300k, 900k, 1,945k, 3,110k, and 4,200k for 1999 through 2004.</w:t>
      </w:r>
    </w:p>
    <w:p>
      <w:pPr>
        <w:pStyle w:val="Normal"/>
        <w:rPr>
          <w:i/>
          <w:i/>
          <w:sz w:val="24"/>
        </w:rPr>
      </w:pPr>
      <w:r>
        <w:rPr>
          <w:i/>
          <w:sz w:val="24"/>
        </w:rPr>
      </w:r>
    </w:p>
    <w:p>
      <w:pPr>
        <w:pStyle w:val="Normal"/>
        <w:rPr>
          <w:sz w:val="24"/>
        </w:rPr>
      </w:pPr>
      <w:r>
        <w:rPr>
          <w:sz w:val="24"/>
        </w:rPr>
      </w:r>
    </w:p>
    <w:p>
      <w:pPr>
        <w:pStyle w:val="Normal"/>
        <w:rPr>
          <w:b/>
          <w:sz w:val="24"/>
        </w:rPr>
      </w:pPr>
      <w:r>
        <w:rPr>
          <w:b/>
          <w:sz w:val="24"/>
        </w:rPr>
        <w:t>Households Passed and Take Rates</w:t>
      </w:r>
    </w:p>
    <w:p>
      <w:pPr>
        <w:pStyle w:val="Normal"/>
        <w:rPr>
          <w:b/>
          <w:sz w:val="24"/>
        </w:rPr>
      </w:pPr>
      <w:r>
        <w:rPr>
          <w:b/>
          <w:sz w:val="24"/>
        </w:rPr>
      </w:r>
    </w:p>
    <w:p>
      <w:pPr>
        <w:pStyle w:val="Normal"/>
        <w:rPr>
          <w:sz w:val="24"/>
        </w:rPr>
      </w:pPr>
      <w:r>
        <w:rPr>
          <w:sz w:val="24"/>
        </w:rPr>
        <w:t>Estimates by Morgan Stanley Dean Witter of the US DSL access market are detailed in the table below.  Customer access to ADSL service is limited by distance. With current technology, the customer must be located within 18,000 feet of a telco's central office.</w:t>
      </w:r>
    </w:p>
    <w:p>
      <w:pPr>
        <w:pStyle w:val="Normal"/>
        <w:rPr>
          <w:sz w:val="24"/>
        </w:rPr>
      </w:pPr>
      <w:r>
        <w:rPr>
          <w:sz w:val="24"/>
        </w:rPr>
      </w:r>
    </w:p>
    <w:tbl>
      <w:tblPr>
        <w:tblW w:w="8855" w:type="dxa"/>
        <w:jc w:val="start"/>
        <w:tblInd w:w="0" w:type="dxa"/>
        <w:tblLayout w:type="fixed"/>
        <w:tblCellMar>
          <w:top w:w="0" w:type="dxa"/>
          <w:start w:w="108" w:type="dxa"/>
          <w:bottom w:w="0" w:type="dxa"/>
          <w:end w:w="108" w:type="dxa"/>
        </w:tblCellMar>
      </w:tblPr>
      <w:tblGrid>
        <w:gridCol w:w="2358"/>
        <w:gridCol w:w="1082"/>
        <w:gridCol w:w="1083"/>
        <w:gridCol w:w="1083"/>
        <w:gridCol w:w="1083"/>
        <w:gridCol w:w="1083"/>
        <w:gridCol w:w="1083"/>
      </w:tblGrid>
      <w:tr>
        <w:trPr/>
        <w:tc>
          <w:tcPr>
            <w:tcW w:w="2358" w:type="dxa"/>
            <w:tcBorders>
              <w:top w:val="single" w:sz="4" w:space="0" w:color="000000"/>
              <w:start w:val="single" w:sz="4" w:space="0" w:color="000000"/>
              <w:end w:val="single" w:sz="4" w:space="0" w:color="000000"/>
            </w:tcBorders>
          </w:tcPr>
          <w:p>
            <w:pPr>
              <w:pStyle w:val="Normal"/>
              <w:snapToGrid w:val="false"/>
              <w:rPr/>
            </w:pPr>
            <w:r>
              <w:rPr/>
            </w:r>
          </w:p>
        </w:tc>
        <w:tc>
          <w:tcPr>
            <w:tcW w:w="1082" w:type="dxa"/>
            <w:tcBorders>
              <w:top w:val="single" w:sz="4" w:space="0" w:color="000000"/>
              <w:start w:val="single" w:sz="4" w:space="0" w:color="000000"/>
              <w:end w:val="single" w:sz="4" w:space="0" w:color="000000"/>
            </w:tcBorders>
          </w:tcPr>
          <w:p>
            <w:pPr>
              <w:pStyle w:val="Normal"/>
              <w:jc w:val="end"/>
              <w:rPr>
                <w:b/>
              </w:rPr>
            </w:pPr>
            <w:r>
              <w:rPr>
                <w:b/>
              </w:rPr>
              <w:t>1999</w:t>
            </w:r>
          </w:p>
        </w:tc>
        <w:tc>
          <w:tcPr>
            <w:tcW w:w="1083" w:type="dxa"/>
            <w:tcBorders>
              <w:top w:val="single" w:sz="4" w:space="0" w:color="000000"/>
              <w:start w:val="single" w:sz="4" w:space="0" w:color="000000"/>
              <w:end w:val="single" w:sz="4" w:space="0" w:color="000000"/>
            </w:tcBorders>
          </w:tcPr>
          <w:p>
            <w:pPr>
              <w:pStyle w:val="Normal"/>
              <w:jc w:val="end"/>
              <w:rPr>
                <w:b/>
              </w:rPr>
            </w:pPr>
            <w:r>
              <w:rPr>
                <w:b/>
              </w:rPr>
              <w:t>2000</w:t>
            </w:r>
          </w:p>
        </w:tc>
        <w:tc>
          <w:tcPr>
            <w:tcW w:w="1083" w:type="dxa"/>
            <w:tcBorders>
              <w:top w:val="single" w:sz="4" w:space="0" w:color="000000"/>
              <w:start w:val="single" w:sz="4" w:space="0" w:color="000000"/>
              <w:end w:val="single" w:sz="4" w:space="0" w:color="000000"/>
            </w:tcBorders>
          </w:tcPr>
          <w:p>
            <w:pPr>
              <w:pStyle w:val="Normal"/>
              <w:jc w:val="end"/>
              <w:rPr>
                <w:b/>
              </w:rPr>
            </w:pPr>
            <w:r>
              <w:rPr>
                <w:b/>
              </w:rPr>
              <w:t>2001</w:t>
            </w:r>
          </w:p>
        </w:tc>
        <w:tc>
          <w:tcPr>
            <w:tcW w:w="1083" w:type="dxa"/>
            <w:tcBorders>
              <w:top w:val="single" w:sz="4" w:space="0" w:color="000000"/>
              <w:start w:val="single" w:sz="4" w:space="0" w:color="000000"/>
              <w:end w:val="single" w:sz="4" w:space="0" w:color="000000"/>
            </w:tcBorders>
          </w:tcPr>
          <w:p>
            <w:pPr>
              <w:pStyle w:val="Normal"/>
              <w:jc w:val="end"/>
              <w:rPr>
                <w:b/>
              </w:rPr>
            </w:pPr>
            <w:r>
              <w:rPr>
                <w:b/>
              </w:rPr>
              <w:t>2002</w:t>
            </w:r>
          </w:p>
        </w:tc>
        <w:tc>
          <w:tcPr>
            <w:tcW w:w="1083" w:type="dxa"/>
            <w:tcBorders>
              <w:top w:val="single" w:sz="4" w:space="0" w:color="000000"/>
              <w:start w:val="single" w:sz="4" w:space="0" w:color="000000"/>
              <w:end w:val="single" w:sz="4" w:space="0" w:color="000000"/>
            </w:tcBorders>
          </w:tcPr>
          <w:p>
            <w:pPr>
              <w:pStyle w:val="Normal"/>
              <w:jc w:val="end"/>
              <w:rPr>
                <w:b/>
              </w:rPr>
            </w:pPr>
            <w:r>
              <w:rPr>
                <w:b/>
              </w:rPr>
              <w:t>2003</w:t>
            </w:r>
          </w:p>
        </w:tc>
        <w:tc>
          <w:tcPr>
            <w:tcW w:w="1083" w:type="dxa"/>
            <w:tcBorders>
              <w:top w:val="single" w:sz="4" w:space="0" w:color="000000"/>
              <w:start w:val="single" w:sz="4" w:space="0" w:color="000000"/>
              <w:end w:val="single" w:sz="4" w:space="0" w:color="000000"/>
            </w:tcBorders>
          </w:tcPr>
          <w:p>
            <w:pPr>
              <w:pStyle w:val="Normal"/>
              <w:jc w:val="end"/>
              <w:rPr>
                <w:b/>
              </w:rPr>
            </w:pPr>
            <w:r>
              <w:rPr>
                <w:b/>
              </w:rPr>
              <w:t>2004</w:t>
            </w:r>
          </w:p>
        </w:tc>
      </w:tr>
      <w:tr>
        <w:trPr>
          <w:trHeight w:val="120" w:hRule="exact"/>
        </w:trPr>
        <w:tc>
          <w:tcPr>
            <w:tcW w:w="2358"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rPr>
                <w:b/>
                <w:sz w:val="24"/>
              </w:rPr>
            </w:pPr>
            <w:r>
              <w:rPr>
                <w:b/>
                <w:sz w:val="24"/>
              </w:rPr>
            </w:r>
          </w:p>
        </w:tc>
        <w:tc>
          <w:tcPr>
            <w:tcW w:w="1082"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083"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083"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083"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083"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c>
          <w:tcPr>
            <w:tcW w:w="1083"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jc w:val="end"/>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Households Passed (000s)</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end"/>
              <w:rPr/>
            </w:pPr>
            <w:r>
              <w:rPr/>
              <w:t>25.8</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37.6</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51.5</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63.6</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67.5</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69.6</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As % of US Household</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end"/>
              <w:rPr/>
            </w:pPr>
            <w:r>
              <w:rPr/>
              <w:t>25%</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36%</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48.9%</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65%</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75%</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80%</w:t>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pPr>
            <w:r>
              <w:rPr/>
              <w:t>% Take Rate</w:t>
            </w:r>
          </w:p>
        </w:tc>
        <w:tc>
          <w:tcPr>
            <w:tcW w:w="1082" w:type="dxa"/>
            <w:tcBorders>
              <w:top w:val="single" w:sz="4" w:space="0" w:color="000000"/>
              <w:start w:val="single" w:sz="4" w:space="0" w:color="000000"/>
              <w:bottom w:val="single" w:sz="4" w:space="0" w:color="000000"/>
              <w:end w:val="single" w:sz="4" w:space="0" w:color="000000"/>
            </w:tcBorders>
          </w:tcPr>
          <w:p>
            <w:pPr>
              <w:pStyle w:val="Normal"/>
              <w:jc w:val="end"/>
              <w:rPr/>
            </w:pPr>
            <w:r>
              <w:rPr/>
              <w:t>1.7%</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5%</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11.2%</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16%</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21.3%</w:t>
            </w:r>
          </w:p>
        </w:tc>
        <w:tc>
          <w:tcPr>
            <w:tcW w:w="1083" w:type="dxa"/>
            <w:tcBorders>
              <w:top w:val="single" w:sz="4" w:space="0" w:color="000000"/>
              <w:start w:val="single" w:sz="4" w:space="0" w:color="000000"/>
              <w:bottom w:val="single" w:sz="4" w:space="0" w:color="000000"/>
              <w:end w:val="single" w:sz="4" w:space="0" w:color="000000"/>
            </w:tcBorders>
          </w:tcPr>
          <w:p>
            <w:pPr>
              <w:pStyle w:val="Normal"/>
              <w:jc w:val="end"/>
              <w:rPr/>
            </w:pPr>
            <w:r>
              <w:rPr/>
              <w:t>26.7%</w:t>
            </w:r>
          </w:p>
        </w:tc>
      </w:tr>
    </w:tbl>
    <w:p>
      <w:pPr>
        <w:pStyle w:val="Normal"/>
        <w:rPr>
          <w:i/>
          <w:i/>
        </w:rPr>
      </w:pPr>
      <w:r>
        <w:rPr>
          <w:i/>
        </w:rPr>
        <w:t>Source:  MSDW The Broadband Report, May 2000</w:t>
      </w:r>
    </w:p>
    <w:p>
      <w:pPr>
        <w:pStyle w:val="Normal"/>
        <w:rPr>
          <w:i/>
          <w:i/>
          <w:sz w:val="24"/>
        </w:rPr>
      </w:pPr>
      <w:r>
        <w:rPr>
          <w:i/>
          <w:sz w:val="24"/>
        </w:rPr>
      </w:r>
    </w:p>
    <w:p>
      <w:pPr>
        <w:pStyle w:val="Normal"/>
        <w:rPr>
          <w:sz w:val="24"/>
        </w:rPr>
      </w:pPr>
      <w:r>
        <w:rPr>
          <w:sz w:val="24"/>
        </w:rPr>
      </w:r>
    </w:p>
    <w:p>
      <w:pPr>
        <w:pStyle w:val="Normal"/>
        <w:rPr>
          <w:sz w:val="24"/>
        </w:rPr>
      </w:pPr>
      <w:r>
        <w:rPr>
          <w:sz w:val="24"/>
        </w:rPr>
      </w:r>
    </w:p>
    <w:p>
      <w:pPr>
        <w:pStyle w:val="Normal"/>
        <w:numPr>
          <w:ilvl w:val="0"/>
          <w:numId w:val="0"/>
        </w:numPr>
        <w:outlineLvl w:val="0"/>
        <w:rPr>
          <w:b/>
          <w:sz w:val="24"/>
        </w:rPr>
      </w:pPr>
      <w:r>
        <w:rPr>
          <w:b/>
          <w:sz w:val="24"/>
        </w:rPr>
        <w:t>Capital Expenditures</w:t>
      </w:r>
    </w:p>
    <w:p>
      <w:pPr>
        <w:pStyle w:val="Normal"/>
        <w:rPr>
          <w:b/>
          <w:sz w:val="24"/>
        </w:rPr>
      </w:pPr>
      <w:r>
        <w:rPr>
          <w:b/>
          <w:sz w:val="24"/>
        </w:rPr>
      </w:r>
    </w:p>
    <w:p>
      <w:pPr>
        <w:pStyle w:val="Normal"/>
        <w:rPr>
          <w:sz w:val="24"/>
        </w:rPr>
      </w:pPr>
      <w:r>
        <w:rPr>
          <w:sz w:val="24"/>
        </w:rPr>
        <w:t xml:space="preserve">As the roll-out of DSL unfolds, investments in the space have gone from being a golden child to being a pariah.  Across the board, equity valuations of both service providers and equipment manufacturers have dropped 60% to 90% from their highs thus crimping the influx of investment dollars into the DSL arena.  Two ILECs have shown financial interest in two of the data CLECs; Covad (SBC) and NorthPoint (Verizon).  However, Verizon has cancelled its planned merger with NorthPoint due to NorthPoint's dramatic drop in stock value. </w:t>
      </w:r>
    </w:p>
    <w:p>
      <w:pPr>
        <w:pStyle w:val="Normal"/>
        <w:rPr>
          <w:sz w:val="24"/>
        </w:rPr>
      </w:pPr>
      <w:r>
        <w:rPr>
          <w:sz w:val="24"/>
        </w:rPr>
      </w:r>
    </w:p>
    <w:p>
      <w:pPr>
        <w:pStyle w:val="Normal"/>
        <w:rPr>
          <w:sz w:val="24"/>
        </w:rPr>
      </w:pPr>
      <w:r>
        <w:rPr>
          <w:sz w:val="24"/>
        </w:rPr>
        <w:t>ADSL technology has a variable capital structure, which will enable providers to capture reduced equipment costs per subscriber as the roll-out progresses.  ADSL is delivered by connecting a subscriber to a DSLAM port in a central office and installing a modem at the customer's home, thereby creating a dedicated broadband connection.  The DSLAM supplies the line code that enables high speed transport over copper, terminates multiple access lines, organizes data into packets, aggregates traffic, and then passes that traffic to a digital circuit for transmission to a network operation center (NOC), regional data center, ISP, or corporate network.  DSLAMS range in price from $13,000 to $50,000 or more and can serve up to 576 access lines.  The chart below provides a breakdown of the capital structure required for ADSL deployment.  As more customers are served by each DSLAM, the capex per subscriber decreases.</w:t>
      </w:r>
    </w:p>
    <w:p>
      <w:pPr>
        <w:pStyle w:val="Normal"/>
        <w:rPr>
          <w:sz w:val="24"/>
        </w:rPr>
      </w:pPr>
      <w:r>
        <w:rPr>
          <w:sz w:val="24"/>
        </w:rPr>
      </w:r>
    </w:p>
    <w:p>
      <w:pPr>
        <w:pStyle w:val="Normal"/>
        <w:numPr>
          <w:ilvl w:val="0"/>
          <w:numId w:val="0"/>
        </w:numPr>
        <w:outlineLvl w:val="0"/>
        <w:rPr>
          <w:b/>
          <w:sz w:val="24"/>
        </w:rPr>
      </w:pPr>
      <w:r>
        <w:rPr>
          <w:b/>
          <w:sz w:val="24"/>
        </w:rPr>
        <w:t>ADSL Capex per Subscriber, Years One to Three</w:t>
      </w:r>
    </w:p>
    <w:p>
      <w:pPr>
        <w:pStyle w:val="Normal"/>
        <w:numPr>
          <w:ilvl w:val="0"/>
          <w:numId w:val="0"/>
        </w:numPr>
        <w:outlineLvl w:val="0"/>
        <w:rPr>
          <w:b/>
          <w:sz w:val="24"/>
        </w:rPr>
      </w:pPr>
      <w:r>
        <w:rPr>
          <w:b/>
          <w:sz w:val="24"/>
        </w:rPr>
      </w:r>
    </w:p>
    <w:p>
      <w:pPr>
        <w:pStyle w:val="Normal"/>
        <w:rPr>
          <w:b/>
          <w:sz w:val="24"/>
        </w:rPr>
      </w:pPr>
      <w:bookmarkStart w:id="0" w:name="_1037432751"/>
      <w:bookmarkStart w:id="1" w:name="_1037432725"/>
      <w:bookmarkStart w:id="2" w:name="_1037432658"/>
      <w:bookmarkStart w:id="3" w:name="_1037430862"/>
      <w:bookmarkStart w:id="4" w:name="_1037373587"/>
      <w:bookmarkEnd w:id="0"/>
      <w:bookmarkEnd w:id="1"/>
      <w:bookmarkEnd w:id="2"/>
      <w:bookmarkEnd w:id="3"/>
      <w:bookmarkEnd w:id="4"/>
      <w:r>
        <w:rPr>
          <w:sz w:val="24"/>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8.2pt;height:275.6pt" filled="f" o:ole="">
            <v:imagedata r:id="rId3" o:title=""/>
          </v:shape>
          <o:OLEObject Type="Embed" ProgID="PowerPoint.Show.12" ShapeID="ole_rId2" DrawAspect="Content" ObjectID="_966338228" r:id="rId2"/>
        </w:object>
      </w:r>
    </w:p>
    <w:p>
      <w:pPr>
        <w:pStyle w:val="Normal"/>
        <w:rPr>
          <w:sz w:val="16"/>
        </w:rPr>
      </w:pPr>
      <w:r>
        <w:rPr>
          <w:sz w:val="16"/>
        </w:rPr>
        <w:t>Note:  DLC stands for digital loop carrier.  Areas served by a DLC do not qualify for DSL without installation of DLC-compatible equipment.</w:t>
      </w:r>
    </w:p>
    <w:p>
      <w:pPr>
        <w:pStyle w:val="Normal"/>
        <w:rPr>
          <w:sz w:val="16"/>
        </w:rPr>
      </w:pPr>
      <w:r>
        <w:rPr>
          <w:sz w:val="16"/>
        </w:rPr>
      </w:r>
    </w:p>
    <w:p>
      <w:pPr>
        <w:pStyle w:val="Normal"/>
        <w:rPr/>
      </w:pPr>
      <w:r>
        <w:rPr/>
      </w:r>
    </w:p>
    <w:p>
      <w:pPr>
        <w:pStyle w:val="Normal"/>
        <w:numPr>
          <w:ilvl w:val="0"/>
          <w:numId w:val="0"/>
        </w:numPr>
        <w:outlineLvl w:val="0"/>
        <w:rPr>
          <w:b/>
          <w:sz w:val="24"/>
        </w:rPr>
      </w:pPr>
      <w:r>
        <w:rPr>
          <w:b/>
          <w:sz w:val="24"/>
        </w:rPr>
        <w:t>DSL Current Basic Residential Price Offerings</w:t>
      </w:r>
    </w:p>
    <w:p>
      <w:pPr>
        <w:pStyle w:val="Normal"/>
        <w:rPr>
          <w:b/>
          <w:sz w:val="24"/>
        </w:rPr>
      </w:pPr>
      <w:r>
        <w:rPr>
          <w:b/>
          <w:sz w:val="24"/>
        </w:rPr>
      </w:r>
    </w:p>
    <w:p>
      <w:pPr>
        <w:pStyle w:val="Normal"/>
        <w:rPr>
          <w:sz w:val="24"/>
        </w:rPr>
      </w:pPr>
      <w:r>
        <w:rPr>
          <w:sz w:val="24"/>
        </w:rPr>
        <w:t>Over the past few months, most of the major ILECs have brought their DSL prices to the sub-$50 level per month, including ISP service.  This price would equate to a payback period of about 1 year depending on the service provider fees and whether the customer  self-installs.</w:t>
      </w:r>
    </w:p>
    <w:p>
      <w:pPr>
        <w:pStyle w:val="Normal"/>
        <w:rPr>
          <w:sz w:val="24"/>
        </w:rPr>
      </w:pPr>
      <w:r>
        <w:rPr>
          <w:sz w:val="24"/>
        </w:rPr>
      </w:r>
    </w:p>
    <w:tbl>
      <w:tblPr>
        <w:tblW w:w="9018" w:type="dxa"/>
        <w:jc w:val="start"/>
        <w:tblInd w:w="0" w:type="dxa"/>
        <w:tblLayout w:type="fixed"/>
        <w:tblCellMar>
          <w:top w:w="0" w:type="dxa"/>
          <w:start w:w="108" w:type="dxa"/>
          <w:bottom w:w="0" w:type="dxa"/>
          <w:end w:w="108" w:type="dxa"/>
        </w:tblCellMar>
      </w:tblPr>
      <w:tblGrid>
        <w:gridCol w:w="1908"/>
        <w:gridCol w:w="1800"/>
        <w:gridCol w:w="1710"/>
        <w:gridCol w:w="1666"/>
        <w:gridCol w:w="1934"/>
      </w:tblGrid>
      <w:tr>
        <w:trPr/>
        <w:tc>
          <w:tcPr>
            <w:tcW w:w="9018" w:type="dxa"/>
            <w:gridSpan w:val="5"/>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Basic Consumer ADSL Always-on Offer, Including Internet Service</w:t>
            </w:r>
          </w:p>
        </w:tc>
      </w:tr>
      <w:tr>
        <w:trPr/>
        <w:tc>
          <w:tcPr>
            <w:tcW w:w="1908" w:type="dxa"/>
            <w:tcBorders>
              <w:top w:val="single" w:sz="4" w:space="0" w:color="000000"/>
              <w:start w:val="single" w:sz="4" w:space="0" w:color="000000"/>
              <w:end w:val="single" w:sz="4" w:space="0" w:color="000000"/>
            </w:tcBorders>
          </w:tcPr>
          <w:p>
            <w:pPr>
              <w:pStyle w:val="Normal"/>
              <w:snapToGrid w:val="false"/>
              <w:rPr>
                <w:b/>
              </w:rPr>
            </w:pPr>
            <w:r>
              <w:rPr>
                <w:b/>
              </w:rPr>
            </w:r>
          </w:p>
        </w:tc>
        <w:tc>
          <w:tcPr>
            <w:tcW w:w="1800" w:type="dxa"/>
            <w:tcBorders>
              <w:top w:val="single" w:sz="4" w:space="0" w:color="000000"/>
              <w:start w:val="single" w:sz="4" w:space="0" w:color="000000"/>
              <w:end w:val="single" w:sz="4" w:space="0" w:color="000000"/>
            </w:tcBorders>
          </w:tcPr>
          <w:p>
            <w:pPr>
              <w:pStyle w:val="Normal"/>
              <w:tabs>
                <w:tab w:val="clear" w:pos="720"/>
                <w:tab w:val="left" w:pos="1109" w:leader="none"/>
              </w:tabs>
              <w:jc w:val="end"/>
              <w:rPr/>
            </w:pPr>
            <w:r>
              <w:rPr/>
              <w:t>SBC</w:t>
            </w:r>
          </w:p>
        </w:tc>
        <w:tc>
          <w:tcPr>
            <w:tcW w:w="1710" w:type="dxa"/>
            <w:tcBorders>
              <w:top w:val="single" w:sz="4" w:space="0" w:color="000000"/>
              <w:start w:val="single" w:sz="4" w:space="0" w:color="000000"/>
              <w:end w:val="single" w:sz="4" w:space="0" w:color="000000"/>
            </w:tcBorders>
          </w:tcPr>
          <w:p>
            <w:pPr>
              <w:pStyle w:val="Normal"/>
              <w:tabs>
                <w:tab w:val="clear" w:pos="720"/>
                <w:tab w:val="left" w:pos="1109" w:leader="none"/>
              </w:tabs>
              <w:jc w:val="end"/>
              <w:rPr/>
            </w:pPr>
            <w:r>
              <w:rPr/>
              <w:t>Verizon</w:t>
            </w:r>
          </w:p>
        </w:tc>
        <w:tc>
          <w:tcPr>
            <w:tcW w:w="1666" w:type="dxa"/>
            <w:tcBorders>
              <w:top w:val="single" w:sz="4" w:space="0" w:color="000000"/>
              <w:start w:val="single" w:sz="4" w:space="0" w:color="000000"/>
              <w:end w:val="single" w:sz="4" w:space="0" w:color="000000"/>
            </w:tcBorders>
          </w:tcPr>
          <w:p>
            <w:pPr>
              <w:pStyle w:val="Normal"/>
              <w:tabs>
                <w:tab w:val="clear" w:pos="720"/>
                <w:tab w:val="left" w:pos="1109" w:leader="none"/>
              </w:tabs>
              <w:jc w:val="end"/>
              <w:rPr/>
            </w:pPr>
            <w:r>
              <w:rPr/>
              <w:t>Qwest (US West)</w:t>
            </w:r>
          </w:p>
        </w:tc>
        <w:tc>
          <w:tcPr>
            <w:tcW w:w="1934" w:type="dxa"/>
            <w:tcBorders>
              <w:top w:val="single" w:sz="4" w:space="0" w:color="000000"/>
              <w:start w:val="single" w:sz="4" w:space="0" w:color="000000"/>
              <w:end w:val="single" w:sz="4" w:space="0" w:color="000000"/>
            </w:tcBorders>
          </w:tcPr>
          <w:p>
            <w:pPr>
              <w:pStyle w:val="Normal"/>
              <w:tabs>
                <w:tab w:val="clear" w:pos="720"/>
                <w:tab w:val="left" w:pos="1109" w:leader="none"/>
              </w:tabs>
              <w:jc w:val="end"/>
              <w:rPr/>
            </w:pPr>
            <w:r>
              <w:rPr/>
              <w:t>BellSouth</w:t>
            </w:r>
          </w:p>
        </w:tc>
      </w:tr>
      <w:tr>
        <w:trPr>
          <w:trHeight w:val="120" w:hRule="exact"/>
        </w:trPr>
        <w:tc>
          <w:tcPr>
            <w:tcW w:w="1908" w:type="dxa"/>
            <w:tcBorders>
              <w:top w:val="single" w:sz="4" w:space="0" w:color="000000"/>
              <w:start w:val="single" w:sz="4" w:space="0" w:color="000000"/>
              <w:bottom w:val="single" w:sz="4" w:space="0" w:color="000000"/>
              <w:end w:val="single" w:sz="4" w:space="0" w:color="000000"/>
            </w:tcBorders>
            <w:shd w:fill="0000FF" w:val="clear"/>
          </w:tcPr>
          <w:p>
            <w:pPr>
              <w:pStyle w:val="Normal"/>
              <w:snapToGrid w:val="false"/>
              <w:rPr/>
            </w:pPr>
            <w:r>
              <w:rPr/>
            </w:r>
          </w:p>
        </w:tc>
        <w:tc>
          <w:tcPr>
            <w:tcW w:w="1800" w:type="dxa"/>
            <w:tcBorders>
              <w:top w:val="single" w:sz="4" w:space="0" w:color="000000"/>
              <w:start w:val="single" w:sz="4" w:space="0" w:color="000000"/>
              <w:bottom w:val="single" w:sz="4" w:space="0" w:color="000000"/>
              <w:end w:val="single" w:sz="4" w:space="0" w:color="000000"/>
            </w:tcBorders>
            <w:shd w:fill="0000FF" w:val="clear"/>
          </w:tcPr>
          <w:p>
            <w:pPr>
              <w:pStyle w:val="Normal"/>
              <w:tabs>
                <w:tab w:val="clear" w:pos="720"/>
                <w:tab w:val="left" w:pos="1109" w:leader="none"/>
              </w:tabs>
              <w:snapToGrid w:val="false"/>
              <w:jc w:val="end"/>
              <w:rPr/>
            </w:pPr>
            <w:r>
              <w:rPr/>
            </w:r>
          </w:p>
        </w:tc>
        <w:tc>
          <w:tcPr>
            <w:tcW w:w="1710" w:type="dxa"/>
            <w:tcBorders>
              <w:top w:val="single" w:sz="4" w:space="0" w:color="000000"/>
              <w:start w:val="single" w:sz="4" w:space="0" w:color="000000"/>
              <w:bottom w:val="single" w:sz="4" w:space="0" w:color="000000"/>
              <w:end w:val="single" w:sz="4" w:space="0" w:color="000000"/>
            </w:tcBorders>
            <w:shd w:fill="0000FF" w:val="clear"/>
          </w:tcPr>
          <w:p>
            <w:pPr>
              <w:pStyle w:val="Normal"/>
              <w:tabs>
                <w:tab w:val="clear" w:pos="720"/>
                <w:tab w:val="left" w:pos="1109" w:leader="none"/>
              </w:tabs>
              <w:snapToGrid w:val="false"/>
              <w:jc w:val="end"/>
              <w:rPr/>
            </w:pPr>
            <w:r>
              <w:rPr/>
            </w:r>
          </w:p>
        </w:tc>
        <w:tc>
          <w:tcPr>
            <w:tcW w:w="1666" w:type="dxa"/>
            <w:tcBorders>
              <w:top w:val="single" w:sz="4" w:space="0" w:color="000000"/>
              <w:start w:val="single" w:sz="4" w:space="0" w:color="000000"/>
              <w:bottom w:val="single" w:sz="4" w:space="0" w:color="000000"/>
              <w:end w:val="single" w:sz="4" w:space="0" w:color="000000"/>
            </w:tcBorders>
            <w:shd w:fill="0000FF" w:val="clear"/>
          </w:tcPr>
          <w:p>
            <w:pPr>
              <w:pStyle w:val="Normal"/>
              <w:tabs>
                <w:tab w:val="clear" w:pos="720"/>
                <w:tab w:val="left" w:pos="1109" w:leader="none"/>
              </w:tabs>
              <w:snapToGrid w:val="false"/>
              <w:jc w:val="end"/>
              <w:rPr/>
            </w:pPr>
            <w:r>
              <w:rPr/>
            </w:r>
          </w:p>
        </w:tc>
        <w:tc>
          <w:tcPr>
            <w:tcW w:w="1934" w:type="dxa"/>
            <w:tcBorders>
              <w:top w:val="single" w:sz="4" w:space="0" w:color="000000"/>
              <w:start w:val="single" w:sz="4" w:space="0" w:color="000000"/>
              <w:bottom w:val="single" w:sz="4" w:space="0" w:color="000000"/>
              <w:end w:val="single" w:sz="4" w:space="0" w:color="000000"/>
            </w:tcBorders>
            <w:shd w:fill="0000FF" w:val="clear"/>
          </w:tcPr>
          <w:p>
            <w:pPr>
              <w:pStyle w:val="Normal"/>
              <w:tabs>
                <w:tab w:val="clear" w:pos="720"/>
                <w:tab w:val="left" w:pos="1109" w:leader="none"/>
              </w:tabs>
              <w:snapToGrid w:val="false"/>
              <w:jc w:val="end"/>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Monthly fee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$39.95</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$39.95</w:t>
            </w:r>
          </w:p>
        </w:tc>
        <w:tc>
          <w:tcPr>
            <w:tcW w:w="16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$47.90</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$49.95</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CPE charge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$99 (with a $99 rebate offer)</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Free</w:t>
            </w:r>
          </w:p>
        </w:tc>
        <w:tc>
          <w:tcPr>
            <w:tcW w:w="16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Free</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Free</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Installation</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$150 ($0 self-install)</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$120 ($0 self-install)</w:t>
            </w:r>
          </w:p>
        </w:tc>
        <w:tc>
          <w:tcPr>
            <w:tcW w:w="16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$99 ($0 self-install)</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$200 ($0 self-install)</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Internet Service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Included (SBC Internet)</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Included (Verizon Internet)</w:t>
            </w:r>
          </w:p>
        </w:tc>
        <w:tc>
          <w:tcPr>
            <w:tcW w:w="16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Included (USWest.net)</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Included (BellSouth Internet)</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 xml:space="preserve">Speed (down/up) </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384-1500/128 kbps</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256-640/90 kbps</w:t>
            </w:r>
          </w:p>
        </w:tc>
        <w:tc>
          <w:tcPr>
            <w:tcW w:w="16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256-640/272 kbps</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192/192 kbps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Extra email accounts</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2</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4</w:t>
            </w:r>
          </w:p>
        </w:tc>
        <w:tc>
          <w:tcPr>
            <w:tcW w:w="16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NAV</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NAV</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Contract length</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12</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12</w:t>
            </w:r>
          </w:p>
        </w:tc>
        <w:tc>
          <w:tcPr>
            <w:tcW w:w="16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0</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NAV</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Additional promotion</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w:t>
            </w:r>
          </w:p>
        </w:tc>
        <w:tc>
          <w:tcPr>
            <w:tcW w:w="16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$40/mo with other services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 xml:space="preserve">DSL-ISP/Mo </w:t>
            </w:r>
            <w:r>
              <w:rPr>
                <w:sz w:val="16"/>
              </w:rPr>
              <w:t>(no self-install or rebate)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$60.70</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$39.95</w:t>
            </w:r>
          </w:p>
        </w:tc>
        <w:tc>
          <w:tcPr>
            <w:tcW w:w="16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$47.90</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$49.95</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pPr>
            <w:r>
              <w:rPr/>
              <w:t xml:space="preserve">DSL-ISP/Mo </w:t>
            </w:r>
            <w:r>
              <w:rPr>
                <w:sz w:val="16"/>
              </w:rPr>
              <w:t>(w/self-install &amp; rebate)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$39.95</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$39.95</w:t>
            </w:r>
          </w:p>
        </w:tc>
        <w:tc>
          <w:tcPr>
            <w:tcW w:w="16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$47.90</w:t>
            </w:r>
          </w:p>
        </w:tc>
        <w:tc>
          <w:tcPr>
            <w:tcW w:w="193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09" w:leader="none"/>
              </w:tabs>
              <w:jc w:val="end"/>
              <w:rPr/>
            </w:pPr>
            <w:r>
              <w:rPr/>
              <w:t>$49.94</w:t>
            </w:r>
          </w:p>
        </w:tc>
      </w:tr>
    </w:tbl>
    <w:p>
      <w:pPr>
        <w:pStyle w:val="Normal"/>
        <w:rPr/>
      </w:pPr>
      <w:r>
        <w:rPr/>
      </w:r>
    </w:p>
    <w:p>
      <w:pPr>
        <w:pStyle w:val="Normal"/>
        <w:rPr/>
      </w:pPr>
      <w:r>
        <w:rPr/>
        <w:t xml:space="preserve">Notes:  </w:t>
      </w:r>
    </w:p>
    <w:p>
      <w:pPr>
        <w:pStyle w:val="Normal"/>
        <w:numPr>
          <w:ilvl w:val="0"/>
          <w:numId w:val="2"/>
        </w:numPr>
        <w:rPr/>
      </w:pPr>
      <w:r>
        <w:rPr/>
        <w:t>SBC is for Basic DSL Southwestern Bell offer in Texas</w:t>
      </w:r>
    </w:p>
    <w:p>
      <w:pPr>
        <w:pStyle w:val="Normal"/>
        <w:numPr>
          <w:ilvl w:val="0"/>
          <w:numId w:val="2"/>
        </w:numPr>
        <w:rPr/>
      </w:pPr>
      <w:r>
        <w:rPr/>
        <w:t>Verizon is for Verizon Online DSL Personal</w:t>
      </w:r>
    </w:p>
    <w:p>
      <w:pPr>
        <w:pStyle w:val="Normal"/>
        <w:numPr>
          <w:ilvl w:val="0"/>
          <w:numId w:val="2"/>
        </w:numPr>
        <w:rPr/>
      </w:pPr>
      <w:r>
        <w:rPr/>
        <w:t>Qwest is for MegaBit Deluxe product offering.  $99 installation offer only during promotional period.  Modem only free if customers selects internal Intel 2100 DSL Modem.  External Cisco 675 modem costs $150.  Note that Qwest has more basic offering, MegaBit Select, for a basic charge of $19.95/mo (plus Internet service). MegaBit Select requires the user to re-logon every two hours.</w:t>
      </w:r>
    </w:p>
    <w:p>
      <w:pPr>
        <w:pStyle w:val="Normal"/>
        <w:numPr>
          <w:ilvl w:val="0"/>
          <w:numId w:val="2"/>
        </w:numPr>
        <w:rPr/>
      </w:pPr>
      <w:r>
        <w:rPr/>
        <w:t>BellSouth is for FastAccess basic offering..  If customer also subscribes to BellSouth Solutions monthly cost is $40 with one free month of DSL service.</w:t>
      </w:r>
    </w:p>
    <w:p>
      <w:pPr>
        <w:pStyle w:val="Normal"/>
        <w:rPr/>
      </w:pPr>
      <w:r>
        <w:rPr/>
      </w:r>
    </w:p>
    <w:p>
      <w:pPr>
        <w:pStyle w:val="Normal"/>
        <w:rPr/>
      </w:pPr>
      <w:r>
        <w:rPr/>
      </w:r>
    </w:p>
    <w:p>
      <w:pPr>
        <w:pStyle w:val="Normal"/>
        <w:rPr/>
      </w:pPr>
      <w:r>
        <w:rPr/>
      </w:r>
    </w:p>
    <w:p>
      <w:pPr>
        <w:pStyle w:val="Normal"/>
        <w:rPr/>
      </w:pPr>
      <w:r>
        <w:rPr/>
      </w:r>
    </w:p>
    <w:p>
      <w:pPr>
        <w:pStyle w:val="Normal"/>
        <w:rPr>
          <w:sz w:val="24"/>
        </w:rPr>
      </w:pPr>
      <w:r>
        <w:rPr>
          <w:sz w:val="24"/>
        </w:rPr>
        <w:t>Also included in this summary (in the appendix) is a summary of broadband access technology alternatives available to end-users and a chart illustrating the network architecture required to deliver DSL to the home.</w:t>
      </w:r>
      <w:r>
        <w:br w:type="page"/>
      </w:r>
    </w:p>
    <w:p>
      <w:pPr>
        <w:pStyle w:val="Normal"/>
        <w:rPr>
          <w:b/>
          <w:sz w:val="24"/>
        </w:rPr>
      </w:pPr>
      <w:r>
        <w:rPr>
          <w:b/>
          <w:sz w:val="24"/>
        </w:rPr>
        <w:t>Appendix</w:t>
      </w:r>
    </w:p>
    <w:p>
      <w:pPr>
        <w:pStyle w:val="Normal"/>
        <w:rPr>
          <w:b/>
          <w:sz w:val="24"/>
        </w:rPr>
      </w:pPr>
      <w:r>
        <w:rPr>
          <w:b/>
          <w:sz w:val="24"/>
        </w:rPr>
      </w:r>
    </w:p>
    <w:p>
      <w:pPr>
        <w:pStyle w:val="Normal"/>
        <w:rPr>
          <w:sz w:val="24"/>
        </w:rPr>
      </w:pPr>
      <w:r>
        <w:rPr>
          <w:sz w:val="24"/>
        </w:rPr>
        <w:drawing>
          <wp:anchor behindDoc="0" distT="0" distB="0" distL="114935" distR="114935" simplePos="0" locked="0" layoutInCell="0" allowOverlap="1" relativeHeight="4">
            <wp:simplePos x="0" y="0"/>
            <wp:positionH relativeFrom="column">
              <wp:posOffset>45720</wp:posOffset>
            </wp:positionH>
            <wp:positionV relativeFrom="paragraph">
              <wp:posOffset>585470</wp:posOffset>
            </wp:positionV>
            <wp:extent cx="5480685" cy="381317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5" t="-7" r="-5" b="-7"/>
                    <a:stretch>
                      <a:fillRect/>
                    </a:stretch>
                  </pic:blipFill>
                  <pic:spPr bwMode="auto">
                    <a:xfrm>
                      <a:off x="0" y="0"/>
                      <a:ext cx="5480685" cy="3813175"/>
                    </a:xfrm>
                    <a:prstGeom prst="rect">
                      <a:avLst/>
                    </a:prstGeom>
                    <a:noFill/>
                  </pic:spPr>
                </pic:pic>
              </a:graphicData>
            </a:graphic>
          </wp:anchor>
        </w:drawing>
      </w:r>
      <w:r>
        <w:rPr>
          <w:sz w:val="24"/>
        </w:rPr>
        <w:t>The table below defines the various methods of broadband access to the household.</w:t>
      </w:r>
    </w:p>
    <w:p>
      <w:pPr>
        <w:pStyle w:val="Normal"/>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4"/>
        </w:rPr>
      </w:pPr>
      <w:r>
        <w:drawing>
          <wp:anchor behindDoc="0" distT="0" distB="0" distL="114935" distR="114935" simplePos="0" locked="0" layoutInCell="0" allowOverlap="1" relativeHeight="3">
            <wp:simplePos x="0" y="0"/>
            <wp:positionH relativeFrom="column">
              <wp:posOffset>-45720</wp:posOffset>
            </wp:positionH>
            <wp:positionV relativeFrom="paragraph">
              <wp:posOffset>365760</wp:posOffset>
            </wp:positionV>
            <wp:extent cx="5481955" cy="410527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rcRect l="-4" t="-6" r="-4" b="-6"/>
                    <a:stretch>
                      <a:fillRect/>
                    </a:stretch>
                  </pic:blipFill>
                  <pic:spPr bwMode="auto">
                    <a:xfrm>
                      <a:off x="0" y="0"/>
                      <a:ext cx="5481955" cy="4105275"/>
                    </a:xfrm>
                    <a:prstGeom prst="rect">
                      <a:avLst/>
                    </a:prstGeom>
                    <a:noFill/>
                  </pic:spPr>
                </pic:pic>
              </a:graphicData>
            </a:graphic>
          </wp:anchor>
        </w:drawing>
      </w:r>
      <w:r>
        <w:rPr>
          <w:sz w:val="24"/>
        </w:rPr>
        <w:t>The chart below illustrates the network architecture required to deliver DSL to the home.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r>
    </w:p>
    <w:sectPr>
      <w:footerReference w:type="default" r:id="rId6"/>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EBS Market Research &amp; Intelligence</w:t>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12/4/00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1080"/>
        </w:tabs>
        <w:ind w:start="1080" w:hanging="360"/>
      </w:pPr>
      <w:rPr/>
    </w:lvl>
  </w:abstractNum>
  <w:abstractNum w:abstractNumId="2">
    <w:lvl w:ilvl="0">
      <w:start w:val="1"/>
      <w:numFmt w:val="bullet"/>
      <w:lvlText w:val=""/>
      <w:lvlJc w:val="start"/>
      <w:pPr>
        <w:tabs>
          <w:tab w:val="num" w:pos="360"/>
        </w:tabs>
        <w:ind w:start="360" w:hanging="360"/>
      </w:pPr>
      <w:rPr>
        <w:rFonts w:ascii="Wingdings" w:hAnsi="Wingdings" w:cs="Wingdings" w:hint="default"/>
        <w:color w:val="000000"/>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rFonts w:ascii="Wingdings" w:hAnsi="Wingdings" w:cs="Wingdings"/>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2000-12-03T20:18:00Z</dcterms:created>
  <dc:creator>rita_hartfield</dc:creator>
  <dc:description/>
  <dc:language>en-CA</dc:language>
  <cp:lastModifiedBy>rita_hartfield</cp:lastModifiedBy>
  <cp:lastPrinted>2000-12-04T10:44:00Z</cp:lastPrinted>
  <dcterms:modified xsi:type="dcterms:W3CDTF">2000-12-04T14:36:00Z</dcterms:modified>
  <cp:revision>23</cp:revision>
  <dc:subject/>
  <dc:title>Residential Broadband Access</dc:title>
</cp:coreProperties>
</file>