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s>
        <w:suppressAutoHyphens w:val="true"/>
        <w:jc w:val="both"/>
        <w:rPr>
          <w:b/>
          <w:spacing w:val="-2"/>
          <w:sz w:val="19"/>
        </w:rPr>
      </w:pPr>
      <w:r>
        <w:rPr>
          <w:b/>
          <w:spacing w:val="-8"/>
          <w:sz w:val="61"/>
        </w:rPr>
        <w:t>ISDA</w:t>
      </w:r>
      <w:r>
        <w:rPr>
          <w:b/>
          <w:spacing w:val="-2"/>
          <w:sz w:val="19"/>
        </w:rPr>
        <w:tab/>
        <w:t>International Swaps and Derivatives Association, Inc.</w:t>
      </w:r>
    </w:p>
    <w:p>
      <w:pPr>
        <w:pStyle w:val="Normal"/>
        <w:tabs>
          <w:tab w:val="clear" w:pos="720"/>
          <w:tab w:val="left" w:pos="0" w:leader="none"/>
        </w:tabs>
        <w:suppressAutoHyphens w:val="true"/>
        <w:jc w:val="both"/>
        <w:rPr>
          <w:b/>
          <w:spacing w:val="-2"/>
          <w:sz w:val="19"/>
        </w:rPr>
      </w:pPr>
      <w:r>
        <w:rPr>
          <w:b/>
          <w:spacing w:val="-2"/>
          <w:sz w:val="19"/>
        </w:rPr>
        <w:t>600 Fifth Avenue, 27th Floor</w:t>
      </w:r>
    </w:p>
    <w:p>
      <w:pPr>
        <w:pStyle w:val="Normal"/>
        <w:tabs>
          <w:tab w:val="clear" w:pos="720"/>
          <w:tab w:val="left" w:pos="0" w:leader="none"/>
        </w:tabs>
        <w:suppressAutoHyphens w:val="true"/>
        <w:jc w:val="both"/>
        <w:rPr>
          <w:b/>
          <w:spacing w:val="-2"/>
          <w:sz w:val="19"/>
        </w:rPr>
      </w:pPr>
      <w:r>
        <w:rPr>
          <w:b/>
          <w:spacing w:val="-2"/>
          <w:sz w:val="19"/>
        </w:rPr>
        <w:t>Rockefeller Center</w:t>
      </w:r>
    </w:p>
    <w:p>
      <w:pPr>
        <w:pStyle w:val="Normal"/>
        <w:tabs>
          <w:tab w:val="clear" w:pos="720"/>
          <w:tab w:val="left" w:pos="0" w:leader="none"/>
        </w:tabs>
        <w:suppressAutoHyphens w:val="true"/>
        <w:jc w:val="both"/>
        <w:rPr>
          <w:b/>
          <w:spacing w:val="-2"/>
          <w:sz w:val="19"/>
        </w:rPr>
      </w:pPr>
      <w:r>
        <w:rPr>
          <w:b/>
          <w:spacing w:val="-2"/>
          <w:sz w:val="19"/>
        </w:rPr>
        <w:t>New York, New York 10020-2302</w:t>
      </w:r>
    </w:p>
    <w:p>
      <w:pPr>
        <w:pStyle w:val="Normal"/>
        <w:tabs>
          <w:tab w:val="clear" w:pos="720"/>
          <w:tab w:val="left" w:pos="0" w:leader="none"/>
        </w:tabs>
        <w:suppressAutoHyphens w:val="true"/>
        <w:jc w:val="both"/>
        <w:rPr>
          <w:b/>
          <w:spacing w:val="-2"/>
          <w:sz w:val="19"/>
        </w:rPr>
      </w:pPr>
      <w:r>
        <w:rPr>
          <w:b/>
          <w:spacing w:val="-2"/>
          <w:sz w:val="19"/>
        </w:rPr>
        <w:t>(212) 332-1200 Telephone</w:t>
        <w:tab/>
      </w:r>
    </w:p>
    <w:p>
      <w:pPr>
        <w:pStyle w:val="Normal"/>
        <w:tabs>
          <w:tab w:val="clear" w:pos="720"/>
          <w:tab w:val="left" w:pos="0" w:leader="none"/>
        </w:tabs>
        <w:suppressAutoHyphens w:val="true"/>
        <w:jc w:val="both"/>
        <w:rPr>
          <w:b/>
          <w:spacing w:val="-2"/>
          <w:sz w:val="19"/>
        </w:rPr>
      </w:pPr>
      <w:r>
        <w:rPr>
          <w:b/>
          <w:spacing w:val="-2"/>
          <w:sz w:val="19"/>
        </w:rPr>
        <w:t>(212) 332-1212 Facsimile</w:t>
        <w:tab/>
      </w:r>
    </w:p>
    <w:p>
      <w:pPr>
        <w:pStyle w:val="BodyTextIndent"/>
        <w:rPr/>
      </w:pPr>
      <w:r>
        <w:rPr>
          <w:sz w:val="19"/>
        </w:rPr>
        <w:tab/>
        <w:tab/>
        <w:tab/>
        <w:tab/>
        <w:tab/>
        <w:tab/>
        <w:tab/>
      </w:r>
      <w:r>
        <w:rPr>
          <w:b w:val="false"/>
          <w:sz w:val="19"/>
        </w:rPr>
        <w:t>December 6, 1999</w:t>
      </w:r>
    </w:p>
    <w:p>
      <w:pPr>
        <w:pStyle w:val="BodyTextIndent"/>
        <w:rPr>
          <w:b w:val="false"/>
          <w:sz w:val="19"/>
        </w:rPr>
      </w:pPr>
      <w:r>
        <w:rPr>
          <w:b w:val="false"/>
          <w:sz w:val="19"/>
        </w:rPr>
      </w:r>
    </w:p>
    <w:p>
      <w:pPr>
        <w:pStyle w:val="BodyTextIndent"/>
        <w:rPr>
          <w:b w:val="false"/>
          <w:sz w:val="19"/>
        </w:rPr>
      </w:pPr>
      <w:r>
        <w:rPr>
          <w:b w:val="false"/>
          <w:sz w:val="19"/>
        </w:rPr>
      </w:r>
    </w:p>
    <w:p>
      <w:pPr>
        <w:pStyle w:val="BodyTextIndent"/>
        <w:jc w:val="center"/>
        <w:rPr>
          <w:sz w:val="24"/>
        </w:rPr>
      </w:pPr>
      <w:r>
        <w:rPr>
          <w:sz w:val="24"/>
        </w:rPr>
        <w:t>MEMO TO THE ISDA COLLATERAL DOCUMENTATION WORKING GROUP AND THE STRATEGIC DOCUMENTATION TASK FORCE CONCERNING DISPUTE RESOLUTION</w:t>
      </w:r>
    </w:p>
    <w:p>
      <w:pPr>
        <w:pStyle w:val="Normal"/>
        <w:rPr>
          <w:sz w:val="19"/>
        </w:rPr>
      </w:pPr>
      <w:r>
        <w:rPr>
          <w:sz w:val="19"/>
        </w:rPr>
      </w:r>
    </w:p>
    <w:p>
      <w:pPr>
        <w:pStyle w:val="Heading1"/>
        <w:ind w:hanging="0" w:start="0"/>
        <w:rPr>
          <w:sz w:val="24"/>
        </w:rPr>
      </w:pPr>
      <w:r>
        <w:rPr>
          <w:sz w:val="24"/>
        </w:rPr>
        <w:t>Introduction</w:t>
      </w:r>
    </w:p>
    <w:p>
      <w:pPr>
        <w:pStyle w:val="Normal"/>
        <w:rPr>
          <w:sz w:val="24"/>
        </w:rPr>
      </w:pPr>
      <w:r>
        <w:rPr>
          <w:sz w:val="24"/>
        </w:rPr>
      </w:r>
    </w:p>
    <w:p>
      <w:pPr>
        <w:pStyle w:val="Normal"/>
        <w:jc w:val="both"/>
        <w:rPr/>
      </w:pPr>
      <w:r>
        <w:rPr>
          <w:sz w:val="24"/>
        </w:rPr>
        <w:t xml:space="preserve">The approach to dispute resolution currently set out in the Draft Instructions to External Counsel (the </w:t>
      </w:r>
      <w:r>
        <w:rPr>
          <w:b/>
          <w:sz w:val="24"/>
        </w:rPr>
        <w:t>Instructions</w:t>
      </w:r>
      <w:r>
        <w:rPr>
          <w:sz w:val="24"/>
        </w:rPr>
        <w:t>), requires the full disputed amount to be transferred by the disputing party to the non-disputing party at the end of day two, pending the resolution of the dispute.  At the recent meetings of the ISDA Collateral Committee in London and New York, people expressed concerns that the proposed new dispute resolution procedure would, as currently drafted, create a significant incentive for a party to be in the position of the Calling Party.  It is thought that this may give rise to an unhelpful “race to call” situation.</w:t>
      </w:r>
    </w:p>
    <w:p>
      <w:pPr>
        <w:pStyle w:val="Normal"/>
        <w:jc w:val="both"/>
        <w:rPr>
          <w:sz w:val="24"/>
        </w:rPr>
      </w:pPr>
      <w:r>
        <w:rPr>
          <w:sz w:val="24"/>
        </w:rPr>
      </w:r>
    </w:p>
    <w:p>
      <w:pPr>
        <w:pStyle w:val="Heading2"/>
        <w:ind w:hanging="0" w:start="0"/>
        <w:rPr>
          <w:sz w:val="24"/>
        </w:rPr>
      </w:pPr>
      <w:r>
        <w:rPr>
          <w:sz w:val="24"/>
        </w:rPr>
        <w:t>Suggestions</w:t>
      </w:r>
    </w:p>
    <w:p>
      <w:pPr>
        <w:pStyle w:val="Normal"/>
        <w:rPr>
          <w:sz w:val="24"/>
        </w:rPr>
      </w:pPr>
      <w:r>
        <w:rPr>
          <w:sz w:val="24"/>
        </w:rPr>
      </w:r>
    </w:p>
    <w:p>
      <w:pPr>
        <w:pStyle w:val="BodyText"/>
        <w:rPr>
          <w:sz w:val="24"/>
        </w:rPr>
      </w:pPr>
      <w:r>
        <w:rPr>
          <w:sz w:val="24"/>
        </w:rPr>
        <w:t>Clearly, dispute resolution is a very important aspect of the credit support documentation.  It is essential that we develop a dispute resolution procedure that is practical, and, as such, of maximum value in resolving genuine valuation and portfolio population disputes.  It is also important that the mechanism reduce any scope for bad faith disputes and other tactical delays.</w:t>
      </w:r>
    </w:p>
    <w:p>
      <w:pPr>
        <w:pStyle w:val="Normal"/>
        <w:rPr>
          <w:sz w:val="24"/>
        </w:rPr>
      </w:pPr>
      <w:r>
        <w:rPr>
          <w:sz w:val="24"/>
        </w:rPr>
      </w:r>
    </w:p>
    <w:p>
      <w:pPr>
        <w:pStyle w:val="Normal"/>
        <w:rPr>
          <w:sz w:val="24"/>
        </w:rPr>
      </w:pPr>
      <w:r>
        <w:rPr>
          <w:sz w:val="24"/>
        </w:rPr>
        <w:t>ISDA would like you to provide suggestions for an appropriate dispute resolution mechanism.  ISDA also wishes to receive your comments on the following:</w:t>
      </w:r>
    </w:p>
    <w:p>
      <w:pPr>
        <w:pStyle w:val="Normal"/>
        <w:rPr>
          <w:sz w:val="24"/>
        </w:rPr>
      </w:pPr>
      <w:r>
        <w:rPr>
          <w:sz w:val="24"/>
        </w:rPr>
      </w:r>
    </w:p>
    <w:p>
      <w:pPr>
        <w:pStyle w:val="Normal"/>
        <w:numPr>
          <w:ilvl w:val="0"/>
          <w:numId w:val="4"/>
        </w:numPr>
        <w:tabs>
          <w:tab w:val="left" w:pos="720" w:leader="none"/>
        </w:tabs>
        <w:ind w:hanging="720" w:start="720" w:end="0"/>
        <w:jc w:val="both"/>
        <w:rPr>
          <w:sz w:val="24"/>
        </w:rPr>
      </w:pPr>
      <w:r>
        <w:rPr>
          <w:sz w:val="24"/>
        </w:rPr>
        <w:t>As stated above, the incentive to be the first to call for collateral is driven by the provision in the existing Instructions requiring the Disputing Party to transfer the full amount to the other party pending the resolution of the dispute.  It has been suggested that ISDA should retain the majority of the dispute resolution procedure set out in the Instructions but should remove the provision requiring the disputing party to transfer the disputed amount to the calling party pending the resolution of the dispute.  We would be grateful for your comments on an appropriate replacement for this stage in the process.  It should be remembered that, ideally, the final provision would work equally well in respect of both population and valuation disputes.  However, it may be necessary to adopt different approaches in respect of population and valuation disputes.  For example, in relation to valuation disputes, it may be appropriate to rely on third party valuations.  Involving a third party in this manner may be less practical in relation to population disputes.</w:t>
      </w:r>
    </w:p>
    <w:p>
      <w:pPr>
        <w:pStyle w:val="Normal"/>
        <w:rPr>
          <w:sz w:val="24"/>
        </w:rPr>
      </w:pPr>
      <w:r>
        <w:rPr>
          <w:sz w:val="24"/>
        </w:rPr>
      </w:r>
    </w:p>
    <w:p>
      <w:pPr>
        <w:pStyle w:val="BodyTextIndent3"/>
        <w:numPr>
          <w:ilvl w:val="0"/>
          <w:numId w:val="3"/>
        </w:numPr>
        <w:tabs>
          <w:tab w:val="left" w:pos="720" w:leader="none"/>
        </w:tabs>
        <w:ind w:hanging="720" w:start="720" w:end="0"/>
        <w:rPr>
          <w:sz w:val="24"/>
        </w:rPr>
      </w:pPr>
      <w:r>
        <w:rPr>
          <w:sz w:val="24"/>
        </w:rPr>
        <w:t>Would a third party escrow arrangement be an acceptable approach?  For example, would it be appropriate to require that, if the parties are unable to resolve the dispute by 5:00p.m. on day two, the disputed amount is to be transferred to an escrow agent or other suitable third party pending the resolution of the dispute.  It has been commented that such an approach may be operationally impractical and potentially expensive.  If a third party escrow approach were to be adopted, what would be appropriate conditions for the release of the escrow?</w:t>
      </w:r>
    </w:p>
    <w:p>
      <w:pPr>
        <w:pStyle w:val="Normal"/>
        <w:jc w:val="both"/>
        <w:rPr>
          <w:sz w:val="24"/>
        </w:rPr>
      </w:pPr>
      <w:r>
        <w:rPr>
          <w:sz w:val="24"/>
        </w:rPr>
      </w:r>
    </w:p>
    <w:p>
      <w:pPr>
        <w:pStyle w:val="BodyTextIndent3"/>
        <w:numPr>
          <w:ilvl w:val="0"/>
          <w:numId w:val="2"/>
        </w:numPr>
        <w:tabs>
          <w:tab w:val="left" w:pos="720" w:leader="none"/>
        </w:tabs>
        <w:ind w:hanging="720" w:start="720" w:end="0"/>
        <w:rPr>
          <w:sz w:val="24"/>
        </w:rPr>
      </w:pPr>
      <w:r>
        <w:rPr>
          <w:sz w:val="24"/>
        </w:rPr>
        <w:t>ISDA would be grateful for any practical examples that you may be able to provide of how disputed amounts have been safeguarded against the insolvency of the parties pending the resolution of a dispute.</w:t>
      </w:r>
    </w:p>
    <w:p>
      <w:pPr>
        <w:pStyle w:val="BodyTextIndent3"/>
        <w:ind w:start="0" w:end="0"/>
        <w:rPr>
          <w:sz w:val="24"/>
        </w:rPr>
      </w:pPr>
      <w:r>
        <w:rPr>
          <w:sz w:val="24"/>
        </w:rPr>
      </w:r>
    </w:p>
    <w:p>
      <w:pPr>
        <w:pStyle w:val="Normal"/>
        <w:jc w:val="both"/>
        <w:rPr/>
      </w:pPr>
      <w:r>
        <w:rPr>
          <w:sz w:val="24"/>
        </w:rPr>
        <w:t xml:space="preserve">Please forward any comments that you may have on the above to Alex Hunt at ISDA’s New York office (Facsimile (1) 212 332 1203 or e-mail to </w:t>
      </w:r>
      <w:hyperlink r:id="rId2">
        <w:r>
          <w:rPr>
            <w:rStyle w:val="Hyperlink"/>
            <w:sz w:val="24"/>
            <w:u w:val="none"/>
          </w:rPr>
          <w:t>ahunt@isda.org</w:t>
        </w:r>
      </w:hyperlink>
      <w:r>
        <w:rPr>
          <w:sz w:val="24"/>
        </w:rPr>
        <w:t>).  We look forward to discussing these important issues with you further.</w:t>
      </w:r>
    </w:p>
    <w:p>
      <w:pPr>
        <w:pStyle w:val="Normal"/>
        <w:jc w:val="both"/>
        <w:rPr>
          <w:sz w:val="24"/>
        </w:rPr>
      </w:pPr>
      <w:r>
        <w:rPr>
          <w:sz w:val="24"/>
        </w:rPr>
      </w:r>
    </w:p>
    <w:p>
      <w:pPr>
        <w:pStyle w:val="Normal"/>
        <w:rPr/>
      </w:pPr>
      <w:r>
        <w:rPr>
          <w:sz w:val="24"/>
        </w:rPr>
        <w:tab/>
        <w:tab/>
        <w:tab/>
        <w:tab/>
        <w:tab/>
        <w:tab/>
        <w:tab/>
        <w:tab/>
      </w:r>
      <w:r>
        <w:rPr>
          <w:b/>
          <w:sz w:val="24"/>
        </w:rPr>
        <w:t>Robert G Pickel</w:t>
      </w:r>
    </w:p>
    <w:p>
      <w:pPr>
        <w:pStyle w:val="Normal"/>
        <w:rPr>
          <w:sz w:val="24"/>
        </w:rPr>
      </w:pPr>
      <w:r>
        <w:rPr>
          <w:sz w:val="24"/>
        </w:rPr>
        <w:tab/>
        <w:tab/>
        <w:tab/>
        <w:tab/>
        <w:tab/>
        <w:tab/>
        <w:tab/>
        <w:tab/>
        <w:t>General Counsel</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both"/>
      <w:outlineLvl w:val="1"/>
    </w:pPr>
    <w:rPr>
      <w:b/>
    </w:rPr>
  </w:style>
  <w:style w:type="paragraph" w:styleId="Heading3">
    <w:name w:val="heading 3"/>
    <w:basedOn w:val="Normal"/>
    <w:next w:val="Normal"/>
    <w:qFormat/>
    <w:pPr>
      <w:keepNext w:val="true"/>
      <w:numPr>
        <w:ilvl w:val="2"/>
        <w:numId w:val="1"/>
      </w:numPr>
      <w:ind w:hanging="0" w:start="720" w:end="0"/>
      <w:jc w:val="both"/>
      <w:outlineLvl w:val="2"/>
    </w:pPr>
    <w:rPr>
      <w:b/>
      <w:i/>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b/>
    </w:rPr>
  </w:style>
  <w:style w:type="paragraph" w:styleId="BodyTextIndent2">
    <w:name w:val="Body Text Indent 2"/>
    <w:basedOn w:val="Normal"/>
    <w:qFormat/>
    <w:pPr>
      <w:ind w:hanging="720" w:start="720" w:end="0"/>
      <w:jc w:val="both"/>
    </w:pPr>
    <w:rPr/>
  </w:style>
  <w:style w:type="paragraph" w:styleId="BodyTextIndent3">
    <w:name w:val="Body Text Indent 3"/>
    <w:basedOn w:val="Normal"/>
    <w:qFormat/>
    <w:pPr>
      <w:ind w:hanging="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hunt@isda.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1999-12-03T13:07:00Z</dcterms:created>
  <dc:creator>Alex Hunt</dc:creator>
  <dc:description/>
  <dc:language>en-CA</dc:language>
  <cp:lastModifiedBy>Alex Hunt</cp:lastModifiedBy>
  <cp:lastPrinted>1999-12-03T18:29:00Z</cp:lastPrinted>
  <dcterms:modified xsi:type="dcterms:W3CDTF">1999-12-03T21:20:00Z</dcterms:modified>
  <cp:revision>3</cp:revision>
  <dc:subject/>
  <dc:title>DRAFT 11/26/1999</dc:title>
</cp:coreProperties>
</file>