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4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spacing w:before="60" w:after="60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b/>
          <w:sz w:val="22"/>
        </w:rPr>
        <w:t>To:</w:t>
      </w:r>
      <w:r>
        <w:rPr>
          <w:rFonts w:cs="Times New Roman" w:ascii="Times New Roman" w:hAnsi="Times New Roman"/>
          <w:sz w:val="22"/>
        </w:rPr>
        <w:tab/>
        <w:t>Jeff Skilling, COO</w:t>
        <w:tab/>
        <w:tab/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spacing w:before="60" w:after="6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>Rick Buy, CRO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/>
      </w:pPr>
      <w:r>
        <w:rPr>
          <w:rFonts w:cs="Times New Roman" w:ascii="Times New Roman" w:hAnsi="Times New Roman"/>
          <w:b/>
          <w:sz w:val="22"/>
        </w:rPr>
        <w:t>From:</w:t>
      </w:r>
      <w:r>
        <w:rPr>
          <w:rFonts w:cs="Times New Roman" w:ascii="Times New Roman" w:hAnsi="Times New Roman"/>
          <w:sz w:val="22"/>
        </w:rPr>
        <w:tab/>
        <w:t>Michael Moulton</w:t>
        <w:tab/>
      </w:r>
      <w:r>
        <w:rPr>
          <w:rFonts w:cs="Times New Roman" w:ascii="Times New Roman" w:hAnsi="Times New Roman"/>
          <w:sz w:val="22"/>
          <w:u w:val="single"/>
        </w:rPr>
        <w:tab/>
        <w:tab/>
        <w:tab/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/>
      </w:pPr>
      <w:r>
        <w:rPr>
          <w:rFonts w:cs="Times New Roman" w:ascii="Times New Roman" w:hAnsi="Times New Roman"/>
          <w:sz w:val="22"/>
        </w:rPr>
        <w:tab/>
        <w:tab/>
        <w:tab/>
        <w:t>Wade Dosier</w:t>
        <w:tab/>
        <w:tab/>
      </w:r>
      <w:r>
        <w:rPr>
          <w:rFonts w:cs="Times New Roman" w:ascii="Times New Roman" w:hAnsi="Times New Roman"/>
          <w:sz w:val="22"/>
          <w:u w:val="single"/>
        </w:rPr>
        <w:tab/>
        <w:tab/>
        <w:tab/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Date:</w:t>
      </w:r>
      <w:r>
        <w:rPr>
          <w:rFonts w:cs="Times New Roman" w:ascii="Times New Roman" w:hAnsi="Times New Roman"/>
          <w:sz w:val="22"/>
        </w:rPr>
        <w:tab/>
        <w:tab/>
        <w:t>October 31, 2000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/>
      </w:pPr>
      <w:r>
        <w:rPr>
          <w:rFonts w:cs="Times New Roman" w:ascii="Times New Roman" w:hAnsi="Times New Roman"/>
          <w:b/>
          <w:sz w:val="22"/>
        </w:rPr>
        <w:t>Subject:</w:t>
      </w:r>
      <w:r>
        <w:rPr>
          <w:rFonts w:cs="Times New Roman" w:ascii="Times New Roman" w:hAnsi="Times New Roman"/>
          <w:sz w:val="22"/>
        </w:rPr>
        <w:tab/>
        <w:t xml:space="preserve">Request for  DRAM Trading Policy Limits </w:t>
      </w:r>
    </w:p>
    <w:p>
      <w:pPr>
        <w:pStyle w:val="Heading1"/>
        <w:pBdr>
          <w:top w:val="single" w:sz="18" w:space="1" w:color="000000"/>
        </w:pBdr>
        <w:ind w:hanging="0" w:start="0"/>
        <w:jc w:val="both"/>
        <w:rPr>
          <w:rFonts w:ascii="Times New Roman" w:hAnsi="Times New Roman" w:cs="Times New Roman"/>
          <w:b w:val="false"/>
          <w:sz w:val="22"/>
        </w:rPr>
      </w:pPr>
      <w:r>
        <w:rPr>
          <w:rFonts w:cs="Times New Roman"/>
          <w:b w:val="false"/>
          <w:sz w:val="22"/>
        </w:rPr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Type of Trading Limit Request</w:t>
      </w:r>
    </w:p>
    <w:p>
      <w:pPr>
        <w:pStyle w:val="Normal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</w:rPr>
        <w:t>Interim Policy Limits for New Commodity</w:t>
        <w:tab/>
        <w:tab/>
      </w:r>
      <w:r>
        <w:rPr>
          <w:rFonts w:cs="Times New Roman" w:ascii="Times New Roman" w:hAnsi="Times New Roman"/>
          <w:sz w:val="22"/>
          <w:u w:val="single"/>
        </w:rPr>
        <w:t xml:space="preserve">     X</w:t>
        <w:tab/>
      </w:r>
    </w:p>
    <w:p>
      <w:pPr>
        <w:pStyle w:val="Normal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Products:</w:t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Financial swaps of DRAM, term of swaps dependent upon forecast obsolescence curve, no longer than 3 years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Types of DRAM change based on technology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Eventually may consider options and physical trading, but not during interim limit policy period.</w:t>
        <w:tab/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Commodity Group:</w:t>
        <w:tab/>
        <w:t>DRAM, separate and distinct from other EBS Commodity groups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highlight w:val="yellow"/>
        </w:rPr>
      </w:pPr>
      <w:r>
        <w:rPr>
          <w:rFonts w:cs="Times New Roman" w:ascii="Times New Roman" w:hAnsi="Times New Roman"/>
          <w:sz w:val="22"/>
          <w:highlight w:val="yellow"/>
        </w:rPr>
        <w:t>(need to complete Authorized Products List)</w:t>
      </w:r>
    </w:p>
    <w:p>
      <w:pPr>
        <w:pStyle w:val="Normal"/>
        <w:jc w:val="both"/>
        <w:rPr>
          <w:rFonts w:ascii="Times New Roman" w:hAnsi="Times New Roman" w:cs="Times New Roman"/>
          <w:sz w:val="22"/>
          <w:highlight w:val="yellow"/>
        </w:rPr>
      </w:pPr>
      <w:r>
        <w:rPr>
          <w:rFonts w:cs="Times New Roman" w:ascii="Times New Roman" w:hAnsi="Times New Roman"/>
          <w:sz w:val="22"/>
          <w:highlight w:val="yellow"/>
        </w:rPr>
      </w:r>
    </w:p>
    <w:p>
      <w:pPr>
        <w:pStyle w:val="Normal"/>
        <w:ind w:hanging="2160" w:start="2160" w:end="0"/>
        <w:jc w:val="both"/>
        <w:rPr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Background:</w:t>
      </w:r>
    </w:p>
    <w:p>
      <w:pPr>
        <w:pStyle w:val="Normal"/>
        <w:ind w:hanging="2160" w:start="2160" w:end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clear" w:pos="540"/>
          <w:tab w:val="left" w:pos="0" w:leader="none"/>
          <w:tab w:val="left" w:pos="4320" w:leader="none"/>
        </w:tabs>
        <w:ind w:hanging="3240" w:start="3240" w:end="0"/>
        <w:jc w:val="both"/>
        <w:rPr>
          <w:sz w:val="20"/>
        </w:rPr>
      </w:pPr>
      <w:r>
        <w:rPr>
          <w:sz w:val="20"/>
        </w:rPr>
        <w:t>See attached presentation</w:t>
      </w:r>
    </w:p>
    <w:p>
      <w:pPr>
        <w:pStyle w:val="Normal"/>
        <w:tabs>
          <w:tab w:val="clear" w:pos="540"/>
          <w:tab w:val="left" w:pos="0" w:leader="none"/>
          <w:tab w:val="left" w:pos="4320" w:leader="none"/>
        </w:tabs>
        <w:ind w:hanging="3240" w:start="324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540"/>
          <w:tab w:val="left" w:pos="0" w:leader="none"/>
          <w:tab w:val="left" w:pos="4320" w:leader="none"/>
        </w:tabs>
        <w:ind w:hanging="3240" w:start="3240" w:end="0"/>
        <w:jc w:val="both"/>
        <w:rPr>
          <w:sz w:val="20"/>
        </w:rPr>
      </w:pPr>
      <w:r>
        <w:rPr>
          <w:sz w:val="20"/>
          <w:highlight w:val="yellow"/>
        </w:rPr>
        <w:t>Note: Need to obtain more current market information (at least through 1999)</w:t>
      </w:r>
    </w:p>
    <w:p>
      <w:pPr>
        <w:pStyle w:val="Normal"/>
        <w:tabs>
          <w:tab w:val="clear" w:pos="540"/>
          <w:tab w:val="left" w:pos="0" w:leader="none"/>
          <w:tab w:val="left" w:pos="4320" w:leader="none"/>
        </w:tabs>
        <w:ind w:hanging="3240" w:start="324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left" w:pos="5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  <w:u w:val="single"/>
        </w:rPr>
        <w:t>Strategy:</w:t>
      </w:r>
    </w:p>
    <w:p>
      <w:pPr>
        <w:pStyle w:val="Normal"/>
        <w:tabs>
          <w:tab w:val="left" w:pos="5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See attached presentation</w:t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6"/>
        <w:jc w:val="start"/>
        <w:rPr>
          <w:highlight w:val="yellow"/>
        </w:rPr>
      </w:pPr>
      <w:r>
        <w:rPr>
          <w:highlight w:val="yellow"/>
        </w:rPr>
        <w:t>Book Architecture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numPr>
          <w:ilvl w:val="0"/>
          <w:numId w:val="11"/>
        </w:numPr>
        <w:jc w:val="both"/>
        <w:rPr>
          <w:sz w:val="20"/>
          <w:highlight w:val="yellow"/>
        </w:rPr>
      </w:pPr>
      <w:r>
        <w:rPr>
          <w:sz w:val="20"/>
          <w:highlight w:val="yellow"/>
        </w:rPr>
        <w:t>Description of books (physical/financial, underlying and options, monthly term, settlement terms, etc.)</w:t>
      </w:r>
    </w:p>
    <w:p>
      <w:pPr>
        <w:pStyle w:val="Normal"/>
        <w:tabs>
          <w:tab w:val="left" w:pos="540" w:leader="none"/>
          <w:tab w:val="left" w:pos="2520" w:leader="none"/>
        </w:tabs>
        <w:rPr/>
      </w:pPr>
      <w:r>
        <w:rPr>
          <w:rFonts w:cs="Times New Roman" w:ascii="Times New Roman" w:hAnsi="Times New Roman"/>
          <w:sz w:val="22"/>
        </w:rPr>
        <w:tab/>
      </w:r>
      <w:r>
        <w:rPr>
          <w:b/>
        </w:rPr>
        <w:tab/>
      </w:r>
      <w:r>
        <w:rPr/>
        <w:tab/>
        <w:tab/>
      </w:r>
    </w:p>
    <w:p>
      <w:pPr>
        <w:pStyle w:val="Heading6"/>
        <w:jc w:val="start"/>
        <w:rPr>
          <w:highlight w:val="yellow"/>
        </w:rPr>
      </w:pPr>
      <w:r>
        <w:rPr>
          <w:highlight w:val="yellow"/>
        </w:rPr>
        <w:t>Authorized Traders</w:t>
      </w:r>
    </w:p>
    <w:p>
      <w:pPr>
        <w:pStyle w:val="Heading6"/>
        <w:numPr>
          <w:ilvl w:val="0"/>
          <w:numId w:val="3"/>
        </w:numPr>
        <w:jc w:val="start"/>
        <w:rPr>
          <w:b w:val="false"/>
          <w:highlight w:val="yellow"/>
          <w:u w:val="none"/>
        </w:rPr>
      </w:pPr>
      <w:r>
        <w:rPr>
          <w:b w:val="false"/>
          <w:highlight w:val="yellow"/>
          <w:u w:val="none"/>
        </w:rPr>
        <w:t>Michael Moulton</w:t>
      </w:r>
    </w:p>
    <w:p>
      <w:pPr>
        <w:pStyle w:val="Heading6"/>
        <w:numPr>
          <w:ilvl w:val="0"/>
          <w:numId w:val="3"/>
        </w:numPr>
        <w:jc w:val="start"/>
        <w:rPr>
          <w:b w:val="false"/>
          <w:highlight w:val="yellow"/>
          <w:u w:val="none"/>
        </w:rPr>
      </w:pPr>
      <w:r>
        <w:rPr>
          <w:b w:val="false"/>
          <w:highlight w:val="yellow"/>
          <w:u w:val="none"/>
        </w:rPr>
        <w:t>Steve Kim</w:t>
      </w:r>
    </w:p>
    <w:p>
      <w:pPr>
        <w:pStyle w:val="Heading6"/>
        <w:numPr>
          <w:ilvl w:val="0"/>
          <w:numId w:val="3"/>
        </w:numPr>
        <w:jc w:val="start"/>
        <w:rPr>
          <w:b w:val="false"/>
          <w:highlight w:val="yellow"/>
          <w:u w:val="none"/>
        </w:rPr>
      </w:pPr>
      <w:r>
        <w:rPr>
          <w:b w:val="false"/>
          <w:highlight w:val="yellow"/>
          <w:u w:val="none"/>
        </w:rPr>
        <w:t>(need completed and signed Authorized Trader form)</w:t>
      </w:r>
      <w:r>
        <w:br w:type="page"/>
      </w:r>
    </w:p>
    <w:p>
      <w:pPr>
        <w:pStyle w:val="Normal"/>
        <w:tabs>
          <w:tab w:val="left" w:pos="540" w:leader="none"/>
          <w:tab w:val="left" w:pos="2520" w:leader="none"/>
        </w:tabs>
        <w:rPr>
          <w:b w:val="false"/>
          <w:highlight w:val="yellow"/>
          <w:u w:val="none"/>
        </w:rPr>
      </w:pPr>
      <w:r>
        <w:rPr>
          <w:b w:val="false"/>
          <w:highlight w:val="yellow"/>
          <w:u w:val="none"/>
        </w:rPr>
      </w:r>
    </w:p>
    <w:p>
      <w:pPr>
        <w:pStyle w:val="Heading6"/>
        <w:jc w:val="start"/>
        <w:rPr/>
      </w:pPr>
      <w:r>
        <w:rPr/>
        <w:t>Quantitative Risk Parameters: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jc w:val="both"/>
        <w:rPr>
          <w:sz w:val="20"/>
          <w:u w:val="single"/>
        </w:rPr>
      </w:pPr>
      <w:r>
        <w:rPr>
          <w:sz w:val="20"/>
          <w:u w:val="single"/>
        </w:rPr>
        <w:t>Proposed Benchmark measurement and Methodology</w:t>
      </w:r>
    </w:p>
    <w:p>
      <w:pPr>
        <w:pStyle w:val="Normal"/>
        <w:jc w:val="both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spacing w:lineRule="atLeast" w:line="240"/>
        <w:ind w:start="360" w:end="0"/>
        <w:rPr>
          <w:sz w:val="20"/>
          <w:lang w:eastAsia="en-US"/>
        </w:rPr>
      </w:pPr>
      <w:r>
        <w:rPr>
          <w:sz w:val="20"/>
          <w:lang w:eastAsia="en-US"/>
        </w:rPr>
        <w:t>the proposed benchmark will be 128M (8Mx16) SDRAM PC 100.  The other chips will be converted into the benchmark using the following ratios</w:t>
      </w:r>
    </w:p>
    <w:p>
      <w:pPr>
        <w:pStyle w:val="Normal"/>
        <w:spacing w:lineRule="atLeast" w:line="240"/>
        <w:rPr>
          <w:rFonts w:ascii="Helv" w:hAnsi="Helv" w:cs="Helv"/>
          <w:b/>
          <w:color w:val="FF0000"/>
          <w:sz w:val="20"/>
          <w:lang w:eastAsia="en-US"/>
        </w:rPr>
      </w:pPr>
      <w:r>
        <w:rPr>
          <w:rFonts w:cs="Helv" w:ascii="Helv" w:hAnsi="Helv"/>
          <w:b/>
          <w:color w:val="FF0000"/>
          <w:sz w:val="2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FF0000"/>
          <w:lang w:eastAsia="en-US"/>
        </w:rPr>
        <w:tab/>
      </w:r>
      <w:r>
        <w:rPr>
          <w:rFonts w:cs="Times" w:ascii="Times" w:hAnsi="Times"/>
          <w:color w:val="000000"/>
          <w:lang w:eastAsia="en-US"/>
        </w:rPr>
        <w:t>64M (8Mx8) SDRAM PC100</w:t>
        <w:tab/>
        <w:tab/>
        <w:t>.35</w:t>
      </w:r>
    </w:p>
    <w:p>
      <w:pPr>
        <w:pStyle w:val="Normal"/>
        <w:spacing w:lineRule="atLeast" w:line="240"/>
        <w:rPr>
          <w:rFonts w:ascii="Times" w:hAnsi="Times" w:cs="Times"/>
          <w:color w:val="000000"/>
          <w:lang w:eastAsia="en-US"/>
        </w:rPr>
      </w:pPr>
      <w:r>
        <w:rPr>
          <w:rFonts w:cs="Times" w:ascii="Times" w:hAnsi="Times"/>
          <w:color w:val="000000"/>
          <w:lang w:eastAsia="en-US"/>
        </w:rPr>
        <w:tab/>
        <w:t>64M (4Mx4) FPM 2K REF 5V</w:t>
        <w:tab/>
        <w:tab/>
        <w:t>.47</w:t>
      </w:r>
    </w:p>
    <w:p>
      <w:pPr>
        <w:pStyle w:val="Normal"/>
        <w:spacing w:lineRule="atLeast" w:line="240"/>
        <w:rPr>
          <w:rFonts w:ascii="Times" w:hAnsi="Times" w:cs="Times"/>
          <w:color w:val="000000"/>
          <w:lang w:eastAsia="en-US"/>
        </w:rPr>
      </w:pPr>
      <w:r>
        <w:rPr>
          <w:rFonts w:cs="Times" w:ascii="Times" w:hAnsi="Times"/>
          <w:color w:val="000000"/>
          <w:lang w:eastAsia="en-US"/>
        </w:rPr>
        <w:tab/>
        <w:t>64M (4Mx16) SDRAM PC 100</w:t>
        <w:tab/>
        <w:tab/>
        <w:t>.47</w:t>
      </w:r>
    </w:p>
    <w:p>
      <w:pPr>
        <w:pStyle w:val="Normal"/>
        <w:spacing w:lineRule="atLeast" w:line="240"/>
        <w:rPr>
          <w:rFonts w:ascii="Times" w:hAnsi="Times" w:cs="Times"/>
          <w:color w:val="000000"/>
          <w:lang w:eastAsia="en-US"/>
        </w:rPr>
      </w:pPr>
      <w:r>
        <w:rPr>
          <w:rFonts w:cs="Times" w:ascii="Times" w:hAnsi="Times"/>
          <w:color w:val="000000"/>
          <w:lang w:eastAsia="en-US"/>
        </w:rPr>
        <w:tab/>
        <w:t>64M (16Mx4) SDRAM PC 100</w:t>
        <w:tab/>
        <w:tab/>
        <w:t>.37</w:t>
      </w:r>
    </w:p>
    <w:p>
      <w:pPr>
        <w:pStyle w:val="Normal"/>
        <w:spacing w:lineRule="atLeast" w:line="240"/>
        <w:rPr>
          <w:rFonts w:ascii="Times" w:hAnsi="Times" w:cs="Times"/>
          <w:color w:val="000000"/>
          <w:lang w:eastAsia="en-US"/>
        </w:rPr>
      </w:pPr>
      <w:r>
        <w:rPr>
          <w:rFonts w:cs="Times" w:ascii="Times" w:hAnsi="Times"/>
          <w:color w:val="000000"/>
          <w:lang w:eastAsia="en-US"/>
        </w:rPr>
        <w:tab/>
        <w:t>128M (32Mx4) SDRAM PC 100</w:t>
        <w:tab/>
        <w:t>.64</w:t>
      </w:r>
    </w:p>
    <w:p>
      <w:pPr>
        <w:pStyle w:val="Normal"/>
        <w:spacing w:lineRule="atLeast" w:line="240"/>
        <w:rPr>
          <w:rFonts w:ascii="Times" w:hAnsi="Times" w:cs="Times"/>
          <w:color w:val="000000"/>
          <w:lang w:eastAsia="en-US"/>
        </w:rPr>
      </w:pPr>
      <w:r>
        <w:rPr>
          <w:rFonts w:cs="Times" w:ascii="Times" w:hAnsi="Times"/>
          <w:color w:val="000000"/>
          <w:lang w:eastAsia="en-US"/>
        </w:rPr>
        <w:tab/>
        <w:t>128M (16Mx8) SDRAM PC 100</w:t>
        <w:tab/>
        <w:t>.69</w:t>
      </w:r>
    </w:p>
    <w:p>
      <w:pPr>
        <w:pStyle w:val="Normal"/>
        <w:spacing w:lineRule="atLeast" w:line="240"/>
        <w:rPr>
          <w:rFonts w:ascii="Times" w:hAnsi="Times" w:cs="Times"/>
          <w:color w:val="000000"/>
          <w:lang w:eastAsia="en-US"/>
        </w:rPr>
      </w:pPr>
      <w:r>
        <w:rPr>
          <w:rFonts w:cs="Times" w:ascii="Times" w:hAnsi="Times"/>
          <w:color w:val="000000"/>
          <w:lang w:eastAsia="en-US"/>
        </w:rPr>
        <w:tab/>
        <w:t>128M (8Mx16) SDRAM PC 100</w:t>
        <w:tab/>
        <w:t>1.0</w:t>
      </w:r>
    </w:p>
    <w:p>
      <w:pPr>
        <w:pStyle w:val="Normal"/>
        <w:spacing w:lineRule="atLeast" w:line="240"/>
        <w:rPr>
          <w:rFonts w:ascii="Times" w:hAnsi="Times" w:cs="Times"/>
          <w:color w:val="000000"/>
          <w:lang w:eastAsia="en-US"/>
        </w:rPr>
      </w:pPr>
      <w:r>
        <w:rPr>
          <w:rFonts w:cs="Times" w:ascii="Times" w:hAnsi="Times"/>
          <w:color w:val="000000"/>
          <w:lang w:eastAsia="en-US"/>
        </w:rPr>
      </w:r>
    </w:p>
    <w:p>
      <w:pPr>
        <w:pStyle w:val="Normal"/>
        <w:spacing w:lineRule="atLeast" w:line="240"/>
        <w:ind w:start="360" w:end="0"/>
        <w:rPr>
          <w:sz w:val="20"/>
          <w:lang w:eastAsia="en-US"/>
        </w:rPr>
      </w:pPr>
      <w:r>
        <w:rPr>
          <w:sz w:val="20"/>
          <w:lang w:eastAsia="en-US"/>
        </w:rPr>
        <w:t>the conversion ratio is the ratio of the chip's annualized volatility (in $) divided by the annualized volatility (in $)of the benchmark chip.</w:t>
      </w:r>
    </w:p>
    <w:p>
      <w:pPr>
        <w:pStyle w:val="Normal"/>
        <w:spacing w:lineRule="atLeast" w:line="240"/>
        <w:rPr>
          <w:rFonts w:ascii="Helv" w:hAnsi="Helv" w:cs="Helv"/>
          <w:b/>
          <w:color w:val="FF0000"/>
          <w:sz w:val="20"/>
          <w:lang w:eastAsia="en-US"/>
        </w:rPr>
      </w:pPr>
      <w:r>
        <w:rPr>
          <w:rFonts w:cs="Helv" w:ascii="Helv" w:hAnsi="Helv"/>
          <w:b/>
          <w:color w:val="FF0000"/>
          <w:sz w:val="20"/>
          <w:lang w:eastAsia="en-US"/>
        </w:rPr>
      </w:r>
    </w:p>
    <w:p>
      <w:pPr>
        <w:pStyle w:val="Normal"/>
        <w:numPr>
          <w:ilvl w:val="0"/>
          <w:numId w:val="11"/>
        </w:numPr>
        <w:jc w:val="both"/>
        <w:rPr>
          <w:sz w:val="20"/>
          <w:u w:val="single"/>
        </w:rPr>
      </w:pPr>
      <w:r>
        <w:rPr>
          <w:sz w:val="20"/>
          <w:u w:val="single"/>
        </w:rPr>
        <w:t>Proposed Net Open Position Limit</w:t>
      </w:r>
    </w:p>
    <w:p>
      <w:pPr>
        <w:pStyle w:val="Subject"/>
        <w:tabs>
          <w:tab w:val="left" w:pos="360" w:leader="none"/>
        </w:tabs>
        <w:spacing w:lineRule="atLeast" w:line="240"/>
        <w:rPr>
          <w:lang w:eastAsia="en-US"/>
        </w:rPr>
      </w:pPr>
      <w:r>
        <w:rPr>
          <w:lang w:eastAsia="en-US"/>
        </w:rPr>
        <w:tab/>
        <w:t>The position limit will be 5 million benchmark equivalent chips</w:t>
      </w:r>
    </w:p>
    <w:p>
      <w:pPr>
        <w:pStyle w:val="Normal"/>
        <w:jc w:val="both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1"/>
        </w:numPr>
        <w:jc w:val="both"/>
        <w:rPr>
          <w:sz w:val="20"/>
          <w:highlight w:val="yellow"/>
          <w:u w:val="single"/>
        </w:rPr>
      </w:pPr>
      <w:r>
        <w:rPr>
          <w:sz w:val="20"/>
          <w:highlight w:val="yellow"/>
          <w:u w:val="single"/>
        </w:rPr>
        <w:t>Proposed Maturity/Gap Limit</w:t>
      </w:r>
    </w:p>
    <w:p>
      <w:pPr>
        <w:pStyle w:val="Normal"/>
        <w:jc w:val="both"/>
        <w:rPr>
          <w:sz w:val="20"/>
          <w:highlight w:val="yellow"/>
          <w:u w:val="single"/>
        </w:rPr>
      </w:pPr>
      <w:r>
        <w:rPr>
          <w:sz w:val="20"/>
          <w:highlight w:val="yellow"/>
          <w:u w:val="single"/>
        </w:rPr>
      </w:r>
    </w:p>
    <w:p>
      <w:pPr>
        <w:pStyle w:val="Normal"/>
        <w:jc w:val="both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jc w:val="both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jc w:val="both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numPr>
          <w:ilvl w:val="0"/>
          <w:numId w:val="11"/>
        </w:numPr>
        <w:jc w:val="both"/>
        <w:rPr>
          <w:sz w:val="20"/>
          <w:highlight w:val="yellow"/>
          <w:u w:val="single"/>
        </w:rPr>
      </w:pPr>
      <w:r>
        <w:rPr>
          <w:sz w:val="20"/>
          <w:highlight w:val="yellow"/>
          <w:u w:val="single"/>
        </w:rPr>
        <w:t>Proposed VaR and methodology</w:t>
      </w:r>
    </w:p>
    <w:p>
      <w:pPr>
        <w:pStyle w:val="Normal"/>
        <w:ind w:start="360" w:end="0"/>
        <w:jc w:val="both"/>
        <w:rPr>
          <w:sz w:val="20"/>
        </w:rPr>
      </w:pPr>
      <w:r>
        <w:rPr>
          <w:sz w:val="20"/>
        </w:rPr>
        <w:t>$1MM</w:t>
      </w:r>
    </w:p>
    <w:p>
      <w:pPr>
        <w:pStyle w:val="Normal"/>
        <w:ind w:start="360" w:end="0"/>
        <w:jc w:val="both"/>
        <w:rPr>
          <w:sz w:val="20"/>
        </w:rPr>
      </w:pPr>
      <w:r>
        <w:rPr>
          <w:sz w:val="20"/>
        </w:rPr>
        <w:t>(note that Daily Loss limit is 50%, and Cumulative 5-day Loss Limit is 75%)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1"/>
        </w:num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Effect on Portfolio Limits </w:t>
      </w:r>
    </w:p>
    <w:p>
      <w:pPr>
        <w:pStyle w:val="Normal"/>
        <w:ind w:start="360" w:end="0"/>
        <w:jc w:val="both"/>
        <w:rPr>
          <w:sz w:val="20"/>
        </w:rPr>
      </w:pPr>
      <w:r>
        <w:rPr>
          <w:sz w:val="20"/>
        </w:rPr>
        <w:t>Does not change portfolio limit</w:t>
      </w:r>
    </w:p>
    <w:p>
      <w:pPr>
        <w:pStyle w:val="Normal"/>
        <w:jc w:val="both"/>
        <w:rPr>
          <w:rFonts w:ascii="Helv" w:hAnsi="Helv" w:cs="Helv"/>
          <w:b/>
          <w:color w:val="FF0000"/>
          <w:sz w:val="20"/>
          <w:lang w:eastAsia="en-US"/>
        </w:rPr>
      </w:pPr>
      <w:r>
        <w:rPr>
          <w:rFonts w:cs="Helv" w:ascii="Helv" w:hAnsi="Helv"/>
          <w:b/>
          <w:color w:val="FF0000"/>
          <w:sz w:val="20"/>
          <w:lang w:eastAsia="en-US"/>
        </w:rPr>
      </w:r>
    </w:p>
    <w:p>
      <w:pPr>
        <w:pStyle w:val="Normal"/>
        <w:spacing w:lineRule="atLeast" w:line="240"/>
        <w:rPr>
          <w:rFonts w:ascii="Helv" w:hAnsi="Helv" w:eastAsia="Helv" w:cs="Helv"/>
          <w:b/>
          <w:color w:val="FF0000"/>
          <w:lang w:eastAsia="en-US"/>
        </w:rPr>
      </w:pPr>
      <w:r>
        <w:rPr>
          <w:rFonts w:eastAsia="Helv" w:cs="Helv" w:ascii="Helv" w:hAnsi="Helv"/>
          <w:b/>
          <w:color w:val="FF0000"/>
          <w:lang w:eastAsia="en-US"/>
        </w:rPr>
        <w:t xml:space="preserve"> </w:t>
      </w:r>
      <w:r>
        <w:br w:type="page"/>
      </w:r>
    </w:p>
    <w:p>
      <w:pPr>
        <w:pStyle w:val="Normal"/>
        <w:spacing w:lineRule="atLeast" w:line="240"/>
        <w:rPr>
          <w:rFonts w:ascii="Helv" w:hAnsi="Helv" w:cs="Helv"/>
          <w:b/>
          <w:color w:val="FF0000"/>
          <w:lang w:eastAsia="en-US"/>
        </w:rPr>
      </w:pPr>
      <w:r>
        <w:rPr>
          <w:rFonts w:cs="Helv" w:ascii="Helv" w:hAnsi="Helv"/>
          <w:b/>
          <w:color w:val="FF0000"/>
          <w:lang w:eastAsia="en-US"/>
        </w:rPr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b/>
          <w:sz w:val="20"/>
          <w:highlight w:val="yellow"/>
          <w:u w:val="single"/>
        </w:rPr>
      </w:pPr>
      <w:r>
        <w:rPr>
          <w:b/>
          <w:sz w:val="20"/>
          <w:highlight w:val="yellow"/>
          <w:u w:val="single"/>
        </w:rPr>
        <w:t>Risk Assessment</w:t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8"/>
        <w:gridCol w:w="5940"/>
      </w:tblGrid>
      <w:tr>
        <w:trPr>
          <w:trHeight w:val="4085" w:hRule="atLeast"/>
        </w:trPr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/>
              <w:t>STRENGTH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High Growth potential.  The demand for semiconductors especially DRAM has increased by 20% over the last three years and this trend is expected to continue in the future.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Enron’s expertise in creating forward for highly volatile illiquid commodities.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EBS’ technology and e-marketplace expertise 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Fundamental building block to a traded market currently exists in technology.  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Indices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Volatility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Fragmentation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Large numbers of buyers and sellers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Contracts based against indices </w:t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W</w:t>
            </w:r>
            <w:r>
              <w:rPr>
                <w:rFonts w:eastAsia="Times" w:cs="Arial" w:ascii="Arial" w:hAnsi="Arial"/>
                <w:color w:val="000000"/>
                <w:sz w:val="20"/>
              </w:rPr>
              <w:t>EAKNESS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Enron will be the only player creating a forward market in the industry. </w:t>
            </w:r>
          </w:p>
          <w:p>
            <w:pPr>
              <w:pStyle w:val="TOC1"/>
              <w:numPr>
                <w:ilvl w:val="0"/>
                <w:numId w:val="9"/>
              </w:numPr>
              <w:rPr>
                <w:rFonts w:ascii="Arial" w:hAnsi="Arial" w:eastAsia="Times" w:cs="Arial"/>
                <w:b w:val="false"/>
                <w:caps w:val="false"/>
                <w:smallCaps w:val="false"/>
                <w:color w:val="000000"/>
              </w:rPr>
            </w:pPr>
            <w:r>
              <w:rPr>
                <w:rFonts w:eastAsia="Times" w:cs="Arial" w:ascii="Arial" w:hAnsi="Arial"/>
                <w:b w:val="false"/>
                <w:caps w:val="false"/>
                <w:smallCaps w:val="false"/>
                <w:color w:val="000000"/>
              </w:rPr>
              <w:t>Technology may make DRAMS redundant or the speed of new DRAMs coming into the market may speed up.</w:t>
            </w:r>
          </w:p>
          <w:p>
            <w:pPr>
              <w:pStyle w:val="TOC1"/>
              <w:numPr>
                <w:ilvl w:val="0"/>
                <w:numId w:val="9"/>
              </w:numPr>
              <w:rPr>
                <w:rFonts w:ascii="Arial" w:hAnsi="Arial" w:eastAsia="Times" w:cs="Arial"/>
                <w:b w:val="false"/>
                <w:caps w:val="false"/>
                <w:smallCaps w:val="false"/>
                <w:color w:val="000000"/>
              </w:rPr>
            </w:pPr>
            <w:r>
              <w:rPr>
                <w:rFonts w:eastAsia="Times" w:cs="Arial" w:ascii="Arial" w:hAnsi="Arial"/>
                <w:b w:val="false"/>
                <w:caps w:val="false"/>
                <w:smallCaps w:val="false"/>
                <w:color w:val="000000"/>
              </w:rPr>
              <w:t>The need for more product differentiation on the indices.</w:t>
            </w:r>
          </w:p>
          <w:p>
            <w:pPr>
              <w:pStyle w:val="Normal"/>
              <w:rPr>
                <w:rFonts w:ascii="Arial" w:hAnsi="Arial" w:eastAsia="Times" w:cs="Arial"/>
                <w:b/>
                <w:caps/>
                <w:color w:val="000000"/>
                <w:sz w:val="20"/>
              </w:rPr>
            </w:pPr>
            <w:r>
              <w:rPr>
                <w:rFonts w:eastAsia="Times" w:cs="Arial"/>
                <w:b/>
                <w:caps/>
                <w:color w:val="000000"/>
                <w:sz w:val="20"/>
              </w:rPr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/>
              <w:t>OPPORTUNITY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First mover advantage.  Enron has no competitors.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Ties in nicely with Enron strategy of creating new markets, especially technology, where Enron can leverage its core competencies (i.e. trading and hedging, technology relationships). 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Create a B2B technology exchange engine</w:t>
            </w:r>
          </w:p>
        </w:tc>
      </w:tr>
      <w:tr>
        <w:trPr/>
        <w:tc>
          <w:tcPr>
            <w:tcW w:w="37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/>
            </w:pPr>
            <w:r>
              <w:rPr/>
              <w:t>THREAT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Can expect new entrants in the market once Enron creates a forward market that will cause margin erosion.</w:t>
            </w:r>
          </w:p>
        </w:tc>
      </w:tr>
    </w:tbl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rFonts w:ascii="Times New Roman" w:hAnsi="Times New Roman" w:cs="Times New Roman"/>
          <w:sz w:val="22"/>
          <w:highlight w:val="yellow"/>
        </w:rPr>
      </w:pPr>
      <w:r>
        <w:rPr>
          <w:rFonts w:cs="Times New Roman" w:ascii="Times New Roman" w:hAnsi="Times New Roman"/>
          <w:sz w:val="22"/>
          <w:highlight w:val="yellow"/>
        </w:rPr>
      </w:r>
    </w:p>
    <w:p>
      <w:pPr>
        <w:pStyle w:val="BodyText"/>
        <w:numPr>
          <w:ilvl w:val="0"/>
          <w:numId w:val="7"/>
        </w:numPr>
        <w:jc w:val="start"/>
        <w:rPr>
          <w:highlight w:val="yellow"/>
        </w:rPr>
      </w:pPr>
      <w:r>
        <w:rPr>
          <w:highlight w:val="yellow"/>
        </w:rPr>
        <w:t>Comments to be added by various functional sign-offs as needed</w:t>
      </w:r>
    </w:p>
    <w:p>
      <w:pPr>
        <w:pStyle w:val="BodyText"/>
        <w:jc w:val="start"/>
        <w:rPr>
          <w:b/>
          <w:highlight w:val="yellow"/>
          <w:u w:val="single"/>
        </w:rPr>
      </w:pPr>
      <w:r>
        <w:rPr>
          <w:b/>
          <w:highlight w:val="yellow"/>
          <w:u w:val="single"/>
        </w:rPr>
      </w:r>
    </w:p>
    <w:p>
      <w:pPr>
        <w:pStyle w:val="BodyText"/>
        <w:numPr>
          <w:ilvl w:val="0"/>
          <w:numId w:val="6"/>
        </w:numPr>
        <w:jc w:val="start"/>
        <w:rPr/>
      </w:pPr>
      <w:r>
        <w:rPr/>
        <w:t>Tax – prior to going physical, transfer pricing tax issues must be addressed</w:t>
      </w:r>
    </w:p>
    <w:p>
      <w:pPr>
        <w:pStyle w:val="BodyText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jc w:val="start"/>
        <w:rPr>
          <w:b/>
          <w:u w:val="single"/>
        </w:rPr>
      </w:pPr>
      <w:r>
        <w:rPr>
          <w:b/>
          <w:highlight w:val="yellow"/>
          <w:u w:val="single"/>
        </w:rPr>
        <w:t>Conditions Precedent to Effective Date</w:t>
      </w:r>
    </w:p>
    <w:p>
      <w:pPr>
        <w:pStyle w:val="BodyText"/>
        <w:numPr>
          <w:ilvl w:val="0"/>
          <w:numId w:val="10"/>
        </w:numPr>
        <w:jc w:val="start"/>
        <w:rPr/>
      </w:pPr>
      <w:r>
        <w:rPr/>
        <w:t>Need functional sign off as noted below – if open issues, then can sign subject to those</w:t>
      </w:r>
      <w:r>
        <w:br w:type="page"/>
      </w:r>
    </w:p>
    <w:p>
      <w:pPr>
        <w:pStyle w:val="BodyText"/>
        <w:jc w:val="start"/>
        <w:rPr/>
      </w:pPr>
      <w:r>
        <w:rPr/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  <w:u w:val="single"/>
        </w:rPr>
        <w:t>Approvals</w:t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BodyText"/>
        <w:rPr/>
      </w:pPr>
      <w:r>
        <w:rPr/>
        <w:t>The aforementioned limits are effective on _________, subject to completion of the items listed in the</w:t>
      </w:r>
      <w:r>
        <w:rPr>
          <w:b/>
        </w:rPr>
        <w:t xml:space="preserve"> Conditions Precedent</w:t>
      </w:r>
      <w:r>
        <w:rPr/>
        <w:t xml:space="preserve"> section, and shall remain in place unless amended by the signatories through the end of _____ (no more than 6 months for new commodity).  </w:t>
      </w:r>
    </w:p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Signature below signifies this function will have the infrastructure in place to handle this new business, unless noted above in the Conditions Precedent section.</w:t>
      </w:r>
    </w:p>
    <w:p>
      <w:pPr>
        <w:pStyle w:val="BodyText"/>
        <w:rPr/>
      </w:pPr>
      <w:r>
        <w:rPr/>
        <w:tab/>
        <w:tab/>
        <w:tab/>
        <w:tab/>
        <w:tab/>
        <w:tab/>
        <w:t xml:space="preserve">          </w:t>
      </w:r>
      <w:r>
        <w:rPr>
          <w:b/>
        </w:rPr>
        <w:t>Approved</w:t>
        <w:tab/>
        <w:tab/>
        <w:tab/>
        <w:tab/>
        <w:t>Date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tabs>
          <w:tab w:val="clear" w:pos="540"/>
          <w:tab w:val="left" w:pos="0" w:leader="none"/>
          <w:tab w:val="left" w:pos="3780" w:leader="none"/>
          <w:tab w:val="left" w:pos="432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Business Unit Head Trader</w:t>
        <w:tab/>
        <w:t>_______________________________               _____________</w:t>
      </w:r>
    </w:p>
    <w:p>
      <w:pPr>
        <w:pStyle w:val="Normal"/>
        <w:tabs>
          <w:tab w:val="clear" w:pos="540"/>
          <w:tab w:val="left" w:pos="0" w:leader="none"/>
          <w:tab w:val="left" w:pos="3780" w:leader="none"/>
          <w:tab w:val="left" w:pos="4320" w:leader="none"/>
        </w:tabs>
        <w:jc w:val="both"/>
        <w:rPr/>
      </w:pPr>
      <w:r>
        <w:rPr>
          <w:rFonts w:cs="Times New Roman" w:ascii="Times New Roman" w:hAnsi="Times New Roman"/>
          <w:sz w:val="22"/>
        </w:rPr>
        <w:tab/>
      </w:r>
      <w:r>
        <w:rPr>
          <w:rFonts w:cs="Times New Roman" w:ascii="Times New Roman" w:hAnsi="Times New Roman"/>
          <w:sz w:val="22"/>
          <w:highlight w:val="yellow"/>
        </w:rPr>
        <w:t>Michael Moulton???</w:t>
      </w:r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tabs>
          <w:tab w:val="clear" w:pos="540"/>
          <w:tab w:val="left" w:pos="0" w:leader="none"/>
          <w:tab w:val="left" w:pos="3780" w:leader="none"/>
          <w:tab w:val="left" w:pos="432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540"/>
          <w:tab w:val="left" w:pos="0" w:leader="none"/>
          <w:tab w:val="left" w:pos="3780" w:leader="none"/>
          <w:tab w:val="left" w:pos="432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 or CEO – Business Unit</w:t>
        <w:tab/>
        <w:t>_______________________________               _____________</w:t>
      </w:r>
    </w:p>
    <w:p>
      <w:pPr>
        <w:pStyle w:val="Normal"/>
        <w:tabs>
          <w:tab w:val="clear" w:pos="540"/>
          <w:tab w:val="left" w:pos="0" w:leader="none"/>
          <w:tab w:val="left" w:pos="3780" w:leader="none"/>
          <w:tab w:val="left" w:pos="4320" w:leader="none"/>
        </w:tabs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</w:rPr>
        <w:tab/>
        <w:t xml:space="preserve">Kevin Hannon </w:t>
        <w:tab/>
        <w:tab/>
        <w:tab/>
        <w:tab/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Market Risk Management</w:t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ab/>
        <w:t>Ted Murphy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Research</w:t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ab/>
        <w:t>Vince Kaminsky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Legal</w:t>
        <w:tab/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ab/>
        <w:t>Robbi Rossi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Credit</w:t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78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ab/>
        <w:t>Tonya Rohauer</w:t>
      </w:r>
    </w:p>
    <w:p>
      <w:pPr>
        <w:pStyle w:val="Normal"/>
        <w:tabs>
          <w:tab w:val="left" w:pos="540" w:leader="none"/>
          <w:tab w:val="left" w:pos="378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Tax</w:t>
        <w:tab/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ab/>
        <w:t>Jim Ginty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Mid/Back Office</w:t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ab/>
        <w:tab/>
        <w:t>Barry Pearce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sz w:val="22"/>
        </w:rPr>
        <w:t>Enron Net Works</w:t>
        <w:tab/>
        <w:tab/>
      </w:r>
      <w:r>
        <w:rPr>
          <w:rFonts w:cs="Times New Roman" w:ascii="Times New Roman" w:hAnsi="Times New Roman"/>
          <w:sz w:val="22"/>
          <w:u w:val="single"/>
        </w:rPr>
        <w:t>N/A____________________________</w:t>
      </w:r>
      <w:r>
        <w:rPr>
          <w:rFonts w:cs="Times New Roman" w:ascii="Times New Roman" w:hAnsi="Times New Roman"/>
          <w:sz w:val="22"/>
        </w:rPr>
        <w:t xml:space="preserve">               _____________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sz w:val="22"/>
        </w:rPr>
        <w:t>Regulatory</w:t>
        <w:tab/>
        <w:tab/>
      </w:r>
      <w:r>
        <w:rPr>
          <w:rFonts w:cs="Times New Roman" w:ascii="Times New Roman" w:hAnsi="Times New Roman"/>
          <w:sz w:val="22"/>
          <w:u w:val="single"/>
        </w:rPr>
        <w:t>N/A____________________________</w:t>
      </w:r>
      <w:r>
        <w:rPr>
          <w:rFonts w:cs="Times New Roman" w:ascii="Times New Roman" w:hAnsi="Times New Roman"/>
          <w:sz w:val="22"/>
        </w:rPr>
        <w:t xml:space="preserve">            _____________</w:t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Corporate Approvals: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Rick Buy, CRO</w:t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540" w:leader="none"/>
          <w:tab w:val="left" w:pos="3780" w:leader="none"/>
          <w:tab w:val="left" w:pos="432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Jeff Skilling, President/COO</w:t>
        <w:tab/>
        <w:t>_______________________________               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776" w:footer="36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Frutiger 45 Light">
    <w:altName w:val="Arial Narrow"/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object w:dxaOrig="1397" w:dyaOrig="1382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21.6pt;margin-top:-735.65pt;width:69.85pt;height:69.1pt;mso-wrap-distance-left:9.05pt;mso-wrap-distance-right:9.05pt;mso-position-horizontal-relative:text;mso-position-vertical-relative:text" filled="f" o:ole="">
          <v:imagedata r:id="rId2" o:title=""/>
        </v:shape>
        <o:OLEObject Type="Embed" ProgID="" ShapeID="ole_rId1" DrawAspect="Content" ObjectID="_1557737196" r:id="rId1"/>
      </w:object>
    </w: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\@"M/d/yyyy"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  <w:r>
      <w:rPr>
        <w:sz w:val="20"/>
      </w:rPr>
      <w:tab/>
      <w:tab/>
      <w:t xml:space="preserve">             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>
    <w:pPr>
      <w:pStyle w:val="BodyTextIndent3"/>
      <w:jc w:val="end"/>
      <w:rPr/>
    </w:pPr>
    <w:r>
      <w:rPr/>
      <w:t>Proprietary and Confidential</w:t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2615565</wp:posOffset>
              </wp:positionH>
              <wp:positionV relativeFrom="paragraph">
                <wp:posOffset>-189865</wp:posOffset>
              </wp:positionV>
              <wp:extent cx="3877310" cy="937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7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  <w:r>
                            <w:rPr>
                              <w:b/>
                              <w:sz w:val="32"/>
                            </w:rPr>
                            <w:t>Proprietary and Confidential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3.8pt;mso-wrap-distance-left:9.35pt;mso-wrap-distance-right:9.35pt;mso-wrap-distance-top:0pt;mso-wrap-distance-bottom:0pt;margin-top:-14.95pt;mso-position-vertical-relative:text;margin-left:205.9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  <w:r>
                      <w:rPr>
                        <w:b/>
                        <w:sz w:val="32"/>
                      </w:rPr>
                      <w:t>Proprietary and Confidential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</w:tabs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</w:tabs>
      <w:outlineLvl w:val="1"/>
    </w:pPr>
    <w:rPr>
      <w:rFonts w:ascii="Times New Roman" w:hAnsi="Times New Roman" w:cs="Times New Roman"/>
      <w:i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540" w:leader="none"/>
        <w:tab w:val="left" w:pos="2520" w:leader="none"/>
      </w:tabs>
      <w:ind w:hanging="2160" w:start="2160" w:end="0"/>
      <w:jc w:val="both"/>
      <w:outlineLvl w:val="4"/>
    </w:pPr>
    <w:rPr>
      <w:rFonts w:ascii="Times New Roman" w:hAnsi="Times New Roman" w:cs="Times New Roman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540" w:leader="none"/>
        <w:tab w:val="left" w:pos="4320" w:leader="none"/>
      </w:tabs>
      <w:ind w:hanging="2160" w:start="2160" w:end="0"/>
      <w:jc w:val="center"/>
      <w:outlineLvl w:val="5"/>
    </w:pPr>
    <w:rPr>
      <w:rFonts w:ascii="Times New Roman" w:hAnsi="Times New Roman" w:cs="Times New Roman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color w:val="000000"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  <w:tab w:val="left" w:pos="0" w:leader="none"/>
      </w:tabs>
      <w:jc w:val="both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ind w:hanging="720" w:start="720" w:end="0"/>
    </w:pPr>
    <w:rPr>
      <w:rFonts w:ascii="Times New Roman" w:hAnsi="Times New Roman" w:cs="Times New Roman"/>
      <w:sz w:val="20"/>
    </w:rPr>
  </w:style>
  <w:style w:type="paragraph" w:styleId="BodyTextIndent2">
    <w:name w:val="Body Text Indent 2"/>
    <w:basedOn w:val="Normal"/>
    <w:qFormat/>
    <w:pPr>
      <w:ind w:hanging="0" w:start="720" w:end="0"/>
    </w:pPr>
    <w:rPr>
      <w:sz w:val="20"/>
    </w:rPr>
  </w:style>
  <w:style w:type="paragraph" w:styleId="BodyTextIndent3">
    <w:name w:val="Body Text Indent 3"/>
    <w:basedOn w:val="Normal"/>
    <w:qFormat/>
    <w:pPr>
      <w:ind w:hanging="0" w:start="3600" w:end="0"/>
      <w:jc w:val="center"/>
    </w:pPr>
    <w:rPr>
      <w:b/>
      <w:color w:val="FF0000"/>
      <w:sz w:val="20"/>
    </w:rPr>
  </w:style>
  <w:style w:type="paragraph" w:styleId="TOC1">
    <w:name w:val="toc 1"/>
    <w:basedOn w:val="Normal"/>
    <w:next w:val="Normal"/>
    <w:pPr>
      <w:tabs>
        <w:tab w:val="clear" w:pos="540"/>
      </w:tabs>
      <w:spacing w:before="120" w:after="120"/>
    </w:pPr>
    <w:rPr>
      <w:rFonts w:ascii="Frutiger 45 Light;Arial Narrow" w:hAnsi="Frutiger 45 Light;Arial Narrow" w:cs="Frutiger 45 Light;Arial Narrow"/>
      <w:b/>
      <w:caps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2000-10-31T16:51:00Z</dcterms:created>
  <dc:creator>Jeff Ford</dc:creator>
  <dc:description/>
  <dc:language>en-CA</dc:language>
  <cp:lastModifiedBy>cschult</cp:lastModifiedBy>
  <cp:lastPrinted>2000-10-31T14:22:00Z</cp:lastPrinted>
  <dcterms:modified xsi:type="dcterms:W3CDTF">2000-10-31T17:52:00Z</dcterms:modified>
  <cp:revision>8</cp:revision>
  <dc:subject/>
  <dc:title>Eron Capital &amp; Trade Resources Memo</dc:title>
</cp:coreProperties>
</file>