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6"/>
        </w:rPr>
      </w:pPr>
      <w:r>
        <w:rPr>
          <w:b/>
          <w:bCs/>
          <w:sz w:val="26"/>
        </w:rPr>
        <w:t>DRAFT POST-LABOR DAY RTO LEGISLATIVE PLAN</w:t>
      </w:r>
    </w:p>
    <w:p>
      <w:pPr>
        <w:pStyle w:val="Normal"/>
        <w:jc w:val="center"/>
        <w:rPr>
          <w:b/>
          <w:bCs/>
          <w:sz w:val="26"/>
        </w:rPr>
      </w:pPr>
      <w:r>
        <w:rPr>
          <w:b/>
          <w:bCs/>
          <w:sz w:val="26"/>
        </w:rPr>
      </w:r>
    </w:p>
    <w:p>
      <w:pPr>
        <w:pStyle w:val="Heading3"/>
        <w:ind w:hanging="0" w:start="0"/>
        <w:rPr/>
      </w:pPr>
      <w:r>
        <w:rPr/>
        <w:t>August 30, 2001</w:t>
      </w:r>
    </w:p>
    <w:p>
      <w:pPr>
        <w:pStyle w:val="Normal"/>
        <w:jc w:val="center"/>
        <w:rPr>
          <w:sz w:val="26"/>
        </w:rPr>
      </w:pPr>
      <w:r>
        <w:rPr>
          <w:sz w:val="26"/>
        </w:rPr>
      </w:r>
    </w:p>
    <w:p>
      <w:pPr>
        <w:pStyle w:val="Heading1"/>
        <w:ind w:hanging="0" w:start="0"/>
        <w:rPr>
          <w:b/>
          <w:bCs/>
        </w:rPr>
      </w:pPr>
      <w:r>
        <w:rPr>
          <w:b/>
          <w:bCs/>
        </w:rPr>
        <w:t>Objectives:</w:t>
      </w:r>
    </w:p>
    <w:p>
      <w:pPr>
        <w:pStyle w:val="Normal"/>
        <w:jc w:val="both"/>
        <w:rPr>
          <w:b/>
          <w:bCs/>
          <w:sz w:val="26"/>
        </w:rPr>
      </w:pPr>
      <w:r>
        <w:rPr>
          <w:b/>
          <w:bCs/>
          <w:sz w:val="26"/>
        </w:rPr>
      </w:r>
    </w:p>
    <w:p>
      <w:pPr>
        <w:pStyle w:val="Normal"/>
        <w:numPr>
          <w:ilvl w:val="0"/>
          <w:numId w:val="4"/>
        </w:numPr>
        <w:jc w:val="both"/>
        <w:rPr>
          <w:sz w:val="26"/>
        </w:rPr>
      </w:pPr>
      <w:r>
        <w:rPr>
          <w:sz w:val="26"/>
        </w:rPr>
        <w:t>Accelerate our aggressive efforts to generate congressional and public support for FERC’s RTO plans to secure favorable outcomes in both the legislative and regulatory arenas;</w:t>
      </w:r>
    </w:p>
    <w:p>
      <w:pPr>
        <w:pStyle w:val="Normal"/>
        <w:ind w:start="360" w:end="0"/>
        <w:jc w:val="both"/>
        <w:rPr>
          <w:sz w:val="26"/>
        </w:rPr>
      </w:pPr>
      <w:r>
        <w:rPr>
          <w:sz w:val="26"/>
        </w:rPr>
      </w:r>
    </w:p>
    <w:p>
      <w:pPr>
        <w:pStyle w:val="Normal"/>
        <w:numPr>
          <w:ilvl w:val="0"/>
          <w:numId w:val="4"/>
        </w:numPr>
        <w:jc w:val="both"/>
        <w:rPr>
          <w:sz w:val="26"/>
        </w:rPr>
      </w:pPr>
      <w:r>
        <w:rPr>
          <w:sz w:val="26"/>
        </w:rPr>
        <w:t>Expressions of congressional support as regulatory process unfolds;</w:t>
      </w:r>
    </w:p>
    <w:p>
      <w:pPr>
        <w:pStyle w:val="Normal"/>
        <w:jc w:val="both"/>
        <w:rPr>
          <w:sz w:val="26"/>
        </w:rPr>
      </w:pPr>
      <w:r>
        <w:rPr>
          <w:sz w:val="26"/>
        </w:rPr>
      </w:r>
    </w:p>
    <w:p>
      <w:pPr>
        <w:pStyle w:val="Normal"/>
        <w:numPr>
          <w:ilvl w:val="0"/>
          <w:numId w:val="4"/>
        </w:numPr>
        <w:jc w:val="both"/>
        <w:rPr>
          <w:sz w:val="26"/>
        </w:rPr>
      </w:pPr>
      <w:r>
        <w:rPr>
          <w:sz w:val="26"/>
        </w:rPr>
        <w:t>Political support for “pro-RTO” legislation (e.g., Bingaman White Paper);</w:t>
      </w:r>
    </w:p>
    <w:p>
      <w:pPr>
        <w:pStyle w:val="Normal"/>
        <w:jc w:val="both"/>
        <w:rPr>
          <w:sz w:val="26"/>
        </w:rPr>
      </w:pPr>
      <w:r>
        <w:rPr>
          <w:sz w:val="26"/>
        </w:rPr>
      </w:r>
    </w:p>
    <w:p>
      <w:pPr>
        <w:pStyle w:val="Normal"/>
        <w:numPr>
          <w:ilvl w:val="0"/>
          <w:numId w:val="4"/>
        </w:numPr>
        <w:jc w:val="both"/>
        <w:rPr>
          <w:sz w:val="26"/>
        </w:rPr>
      </w:pPr>
      <w:r>
        <w:rPr>
          <w:sz w:val="26"/>
        </w:rPr>
        <w:t>Defeat “anti-RTO” legislation.</w:t>
      </w:r>
    </w:p>
    <w:p>
      <w:pPr>
        <w:pStyle w:val="Normal"/>
        <w:jc w:val="both"/>
        <w:rPr>
          <w:sz w:val="26"/>
        </w:rPr>
      </w:pPr>
      <w:r>
        <w:rPr>
          <w:sz w:val="26"/>
        </w:rPr>
      </w:r>
    </w:p>
    <w:p>
      <w:pPr>
        <w:pStyle w:val="Heading1"/>
        <w:ind w:hanging="0" w:start="0"/>
        <w:rPr>
          <w:b/>
          <w:bCs/>
        </w:rPr>
      </w:pPr>
      <w:r>
        <w:rPr>
          <w:b/>
          <w:bCs/>
        </w:rPr>
        <w:t>Political Landscape and Assumptions:</w:t>
      </w:r>
    </w:p>
    <w:p>
      <w:pPr>
        <w:pStyle w:val="Normal"/>
        <w:jc w:val="both"/>
        <w:rPr>
          <w:b/>
          <w:bCs/>
          <w:sz w:val="26"/>
        </w:rPr>
      </w:pPr>
      <w:r>
        <w:rPr>
          <w:b/>
          <w:bCs/>
          <w:sz w:val="26"/>
        </w:rPr>
      </w:r>
    </w:p>
    <w:p>
      <w:pPr>
        <w:pStyle w:val="Normal"/>
        <w:numPr>
          <w:ilvl w:val="0"/>
          <w:numId w:val="3"/>
        </w:numPr>
        <w:jc w:val="both"/>
        <w:rPr>
          <w:sz w:val="26"/>
        </w:rPr>
      </w:pPr>
      <w:r>
        <w:rPr>
          <w:sz w:val="26"/>
        </w:rPr>
        <w:t>We start with the political high ground – Bush Administration, FERC, Senate Energy Chairman Bingaman and House Energy &amp; Air Quality Chairman Barton are or are expected to be publicly supportive of a few regional RTOs.</w:t>
      </w:r>
    </w:p>
    <w:p>
      <w:pPr>
        <w:pStyle w:val="Normal"/>
        <w:ind w:start="360" w:end="0"/>
        <w:jc w:val="both"/>
        <w:rPr>
          <w:sz w:val="26"/>
        </w:rPr>
      </w:pPr>
      <w:r>
        <w:rPr>
          <w:sz w:val="26"/>
        </w:rPr>
      </w:r>
    </w:p>
    <w:p>
      <w:pPr>
        <w:pStyle w:val="Normal"/>
        <w:numPr>
          <w:ilvl w:val="0"/>
          <w:numId w:val="3"/>
        </w:numPr>
        <w:jc w:val="both"/>
        <w:rPr>
          <w:sz w:val="26"/>
        </w:rPr>
      </w:pPr>
      <w:r>
        <w:rPr>
          <w:sz w:val="26"/>
        </w:rPr>
        <w:t>Opposition to FERC’s RTO approach is building from governors, state attorneys general, state utility regulators, some consumer advocates and some environmentalists – all of whom are key constituents of members of Congress; opponents have been more vocal than supporters of RTOs to date.</w:t>
      </w:r>
    </w:p>
    <w:p>
      <w:pPr>
        <w:pStyle w:val="Normal"/>
        <w:jc w:val="both"/>
        <w:rPr>
          <w:sz w:val="26"/>
        </w:rPr>
      </w:pPr>
      <w:r>
        <w:rPr>
          <w:sz w:val="26"/>
        </w:rPr>
      </w:r>
    </w:p>
    <w:p>
      <w:pPr>
        <w:pStyle w:val="Normal"/>
        <w:numPr>
          <w:ilvl w:val="0"/>
          <w:numId w:val="3"/>
        </w:numPr>
        <w:jc w:val="both"/>
        <w:rPr>
          <w:sz w:val="26"/>
        </w:rPr>
      </w:pPr>
      <w:r>
        <w:rPr>
          <w:b/>
          <w:bCs/>
          <w:i/>
          <w:iCs/>
          <w:sz w:val="26"/>
        </w:rPr>
        <w:t>Time is of the essence for RTO supporters</w:t>
      </w:r>
      <w:r>
        <w:rPr>
          <w:sz w:val="26"/>
        </w:rPr>
        <w:t xml:space="preserve"> – in September, the Bush Administration will release legislative recommendations on electricity legislation, Chairman Barton will circulate draft electricity legislation with a strong RTO component for public and subcommittee comment, and the Senate Energy Committee is scheduled to vote on RTO and other electricity issues.</w:t>
      </w:r>
    </w:p>
    <w:p>
      <w:pPr>
        <w:pStyle w:val="Normal"/>
        <w:jc w:val="both"/>
        <w:rPr>
          <w:sz w:val="26"/>
        </w:rPr>
      </w:pPr>
      <w:r>
        <w:rPr>
          <w:sz w:val="26"/>
        </w:rPr>
      </w:r>
    </w:p>
    <w:p>
      <w:pPr>
        <w:pStyle w:val="Normal"/>
        <w:numPr>
          <w:ilvl w:val="0"/>
          <w:numId w:val="3"/>
        </w:numPr>
        <w:jc w:val="both"/>
        <w:rPr>
          <w:sz w:val="26"/>
        </w:rPr>
      </w:pPr>
      <w:r>
        <w:rPr>
          <w:sz w:val="26"/>
        </w:rPr>
        <w:t>Legislation to promote voluntary, not mandatory RTOs, is pending in the House (H.R. 2814 by Reps. Tom Sawyer (D-OH) and Richard Burr (R-NC), both members of the House energy subcommittee) and a draft of a similar approach by Senator Landrieu is circulating in the Senate.</w:t>
      </w:r>
    </w:p>
    <w:p>
      <w:pPr>
        <w:pStyle w:val="Normal"/>
        <w:jc w:val="both"/>
        <w:rPr>
          <w:sz w:val="26"/>
        </w:rPr>
      </w:pPr>
      <w:r>
        <w:rPr>
          <w:sz w:val="26"/>
        </w:rPr>
      </w:r>
    </w:p>
    <w:p>
      <w:pPr>
        <w:pStyle w:val="Normal"/>
        <w:numPr>
          <w:ilvl w:val="0"/>
          <w:numId w:val="3"/>
        </w:numPr>
        <w:jc w:val="both"/>
        <w:rPr>
          <w:sz w:val="26"/>
        </w:rPr>
      </w:pPr>
      <w:r>
        <w:rPr>
          <w:sz w:val="26"/>
        </w:rPr>
        <w:t>Aggressive efforts are needed post-Labor Day with congressional energy committees to identify allies and adversaries, determine extent of congressional interest and position taking, educate Members and staff on benefits of RTOs and the slow voluntary process to date, and counter the voluntary RTO legislation.</w:t>
      </w:r>
    </w:p>
    <w:p>
      <w:pPr>
        <w:pStyle w:val="Normal"/>
        <w:jc w:val="both"/>
        <w:rPr>
          <w:sz w:val="26"/>
        </w:rPr>
      </w:pPr>
      <w:r>
        <w:rPr>
          <w:sz w:val="26"/>
        </w:rPr>
      </w:r>
    </w:p>
    <w:p>
      <w:pPr>
        <w:pStyle w:val="Heading2"/>
        <w:rPr>
          <w:b/>
          <w:bCs/>
        </w:rPr>
      </w:pPr>
      <w:r>
        <w:rPr>
          <w:b/>
          <w:bCs/>
        </w:rPr>
        <w:t>Immediate Implementation Tasks:</w:t>
      </w:r>
    </w:p>
    <w:p>
      <w:pPr>
        <w:pStyle w:val="Normal"/>
        <w:ind w:start="360" w:end="0"/>
        <w:jc w:val="both"/>
        <w:rPr>
          <w:b/>
          <w:bCs/>
          <w:sz w:val="26"/>
        </w:rPr>
      </w:pPr>
      <w:r>
        <w:rPr>
          <w:b/>
          <w:bCs/>
          <w:sz w:val="26"/>
        </w:rPr>
      </w:r>
    </w:p>
    <w:p>
      <w:pPr>
        <w:pStyle w:val="Normal"/>
        <w:numPr>
          <w:ilvl w:val="0"/>
          <w:numId w:val="2"/>
        </w:numPr>
        <w:jc w:val="both"/>
        <w:rPr>
          <w:sz w:val="26"/>
        </w:rPr>
      </w:pPr>
      <w:r>
        <w:rPr>
          <w:sz w:val="26"/>
        </w:rPr>
        <w:t xml:space="preserve">Make rounds of each member of the Senate Energy Committee and House Energy and Air Quality Subcommittee (specific lobbying assignments to be made at 9/4/01 meeting of Enron lobbying team).  </w:t>
      </w:r>
      <w:r>
        <w:rPr>
          <w:b/>
          <w:bCs/>
        </w:rPr>
        <w:t>Deadline is 9/21/01.</w:t>
      </w:r>
    </w:p>
    <w:p>
      <w:pPr>
        <w:pStyle w:val="Normal"/>
        <w:ind w:start="720" w:end="0"/>
        <w:jc w:val="both"/>
        <w:rPr>
          <w:sz w:val="26"/>
        </w:rPr>
      </w:pPr>
      <w:r>
        <w:rPr>
          <w:sz w:val="26"/>
        </w:rPr>
      </w:r>
    </w:p>
    <w:p>
      <w:pPr>
        <w:pStyle w:val="BodyTextIndent"/>
        <w:rPr/>
      </w:pPr>
      <w:r>
        <w:rPr/>
        <w:t>Objective – secure support for RTOs, as alternative, “keep your powder dry.”</w:t>
      </w:r>
    </w:p>
    <w:p>
      <w:pPr>
        <w:pStyle w:val="BodyTextIndent"/>
        <w:rPr/>
      </w:pPr>
      <w:r>
        <w:rPr/>
        <w:t xml:space="preserve">Basic messages – (a) bigger RTOs are important to better transmission system and hence future economic growth, (b) give the new FERC a chance to implement its plans, and (c) issue is </w:t>
      </w:r>
      <w:r>
        <w:rPr>
          <w:u w:val="single"/>
        </w:rPr>
        <w:t>not</w:t>
      </w:r>
      <w:r>
        <w:rPr/>
        <w:t xml:space="preserve"> federal v. state, but what type of regional configurations make sense given natural markets.</w:t>
      </w:r>
    </w:p>
    <w:p>
      <w:pPr>
        <w:pStyle w:val="BodyTextIndent"/>
        <w:rPr/>
      </w:pPr>
      <w:r>
        <w:rPr/>
      </w:r>
    </w:p>
    <w:p>
      <w:pPr>
        <w:pStyle w:val="BodyTextIndent"/>
        <w:numPr>
          <w:ilvl w:val="0"/>
          <w:numId w:val="2"/>
        </w:numPr>
        <w:rPr/>
      </w:pPr>
      <w:r>
        <w:rPr/>
        <w:t>Who are our allies?  What is the best way to get RTO coalition off the ground?</w:t>
      </w:r>
    </w:p>
    <w:p>
      <w:pPr>
        <w:pStyle w:val="BodyTextIndent"/>
        <w:rPr/>
      </w:pPr>
      <w:r>
        <w:rPr/>
      </w:r>
    </w:p>
    <w:p>
      <w:pPr>
        <w:pStyle w:val="BodyTextIndent"/>
        <w:numPr>
          <w:ilvl w:val="1"/>
          <w:numId w:val="2"/>
        </w:numPr>
        <w:rPr/>
      </w:pPr>
      <w:r>
        <w:rPr/>
        <w:t>EPSA and EPSA members (John to coordinate)</w:t>
      </w:r>
    </w:p>
    <w:p>
      <w:pPr>
        <w:pStyle w:val="BodyTextIndent"/>
        <w:numPr>
          <w:ilvl w:val="1"/>
          <w:numId w:val="2"/>
        </w:numPr>
        <w:rPr/>
      </w:pPr>
      <w:r>
        <w:rPr/>
        <w:t>ELCON, NAM and other industrial user associations (John)</w:t>
      </w:r>
    </w:p>
    <w:p>
      <w:pPr>
        <w:pStyle w:val="BodyTextIndent"/>
        <w:numPr>
          <w:ilvl w:val="1"/>
          <w:numId w:val="2"/>
        </w:numPr>
        <w:rPr/>
      </w:pPr>
      <w:r>
        <w:rPr/>
        <w:t>Individual companies (all)</w:t>
      </w:r>
    </w:p>
    <w:p>
      <w:pPr>
        <w:pStyle w:val="BodyTextIndent"/>
        <w:numPr>
          <w:ilvl w:val="1"/>
          <w:numId w:val="2"/>
        </w:numPr>
        <w:rPr/>
      </w:pPr>
      <w:r>
        <w:rPr/>
        <w:t>Other energy associations (Pat to check INGAA, AGA and renewable groups, John to check natural gas producers and public power)</w:t>
      </w:r>
    </w:p>
    <w:p>
      <w:pPr>
        <w:pStyle w:val="BodyTextIndent"/>
        <w:numPr>
          <w:ilvl w:val="1"/>
          <w:numId w:val="2"/>
        </w:numPr>
        <w:rPr/>
      </w:pPr>
      <w:r>
        <w:rPr/>
        <w:t>“</w:t>
      </w:r>
      <w:r>
        <w:rPr/>
        <w:t>Think tanks” (Chris to check DLC, Pat to check Heritage, Cato, etc.)</w:t>
      </w:r>
    </w:p>
    <w:p>
      <w:pPr>
        <w:pStyle w:val="BodyTextIndent"/>
        <w:numPr>
          <w:ilvl w:val="1"/>
          <w:numId w:val="2"/>
        </w:numPr>
        <w:rPr/>
      </w:pPr>
      <w:r>
        <w:rPr/>
        <w:t>Any state officials? (Ask regulatory group, see trade press)</w:t>
      </w:r>
    </w:p>
    <w:p>
      <w:pPr>
        <w:pStyle w:val="BodyTextIndent"/>
        <w:numPr>
          <w:ilvl w:val="1"/>
          <w:numId w:val="2"/>
        </w:numPr>
        <w:rPr/>
      </w:pPr>
      <w:r>
        <w:rPr/>
        <w:t>“</w:t>
      </w:r>
      <w:r>
        <w:rPr/>
        <w:t>Migrate” regulatory allies to legislative action (e.g., pilot project with letter from Northeast &amp; Southeast coalitions—John/Sarah/Christi).</w:t>
      </w:r>
    </w:p>
    <w:p>
      <w:pPr>
        <w:pStyle w:val="BodyTextIndent"/>
        <w:ind w:start="1440" w:end="0"/>
        <w:rPr/>
      </w:pPr>
      <w:r>
        <w:rPr/>
      </w:r>
    </w:p>
    <w:p>
      <w:pPr>
        <w:pStyle w:val="BodyTextIndent"/>
        <w:numPr>
          <w:ilvl w:val="0"/>
          <w:numId w:val="2"/>
        </w:numPr>
        <w:rPr/>
      </w:pPr>
      <w:r>
        <w:rPr/>
        <w:t>Who are our adversaries?  What are they saying?  Counter-arguments?</w:t>
      </w:r>
    </w:p>
    <w:p>
      <w:pPr>
        <w:pStyle w:val="BodyTextIndent"/>
        <w:rPr/>
      </w:pPr>
      <w:r>
        <w:rPr/>
        <w:t>(E.g., respond to argument that FERC lacks jurisdiction and/or did not follow proper APA procedures in ordering mediation) (Check with Janel and do own)</w:t>
      </w:r>
    </w:p>
    <w:p>
      <w:pPr>
        <w:pStyle w:val="BodyTextIndent"/>
        <w:rPr/>
      </w:pPr>
      <w:r>
        <w:rPr/>
      </w:r>
    </w:p>
    <w:p>
      <w:pPr>
        <w:pStyle w:val="BodyTextIndent"/>
        <w:numPr>
          <w:ilvl w:val="1"/>
          <w:numId w:val="2"/>
        </w:numPr>
        <w:rPr/>
      </w:pPr>
      <w:r>
        <w:rPr/>
        <w:t>“</w:t>
      </w:r>
      <w:r>
        <w:rPr/>
        <w:t>Just say no” utilities</w:t>
      </w:r>
    </w:p>
    <w:p>
      <w:pPr>
        <w:pStyle w:val="BodyTextIndent"/>
        <w:numPr>
          <w:ilvl w:val="1"/>
          <w:numId w:val="2"/>
        </w:numPr>
        <w:rPr/>
      </w:pPr>
      <w:r>
        <w:rPr/>
        <w:t>Governors</w:t>
      </w:r>
    </w:p>
    <w:p>
      <w:pPr>
        <w:pStyle w:val="BodyTextIndent"/>
        <w:numPr>
          <w:ilvl w:val="1"/>
          <w:numId w:val="2"/>
        </w:numPr>
        <w:rPr/>
      </w:pPr>
      <w:r>
        <w:rPr/>
        <w:t>State regulators</w:t>
      </w:r>
    </w:p>
    <w:p>
      <w:pPr>
        <w:pStyle w:val="BodyTextIndent"/>
        <w:numPr>
          <w:ilvl w:val="1"/>
          <w:numId w:val="2"/>
        </w:numPr>
        <w:rPr/>
      </w:pPr>
      <w:r>
        <w:rPr/>
        <w:t>Consumer advocates</w:t>
      </w:r>
    </w:p>
    <w:p>
      <w:pPr>
        <w:pStyle w:val="BodyTextIndent"/>
        <w:numPr>
          <w:ilvl w:val="1"/>
          <w:numId w:val="2"/>
        </w:numPr>
        <w:rPr/>
      </w:pPr>
      <w:r>
        <w:rPr/>
        <w:t>Environmentalists</w:t>
      </w:r>
    </w:p>
    <w:p>
      <w:pPr>
        <w:pStyle w:val="BodyTextIndent"/>
        <w:ind w:start="0" w:end="0"/>
        <w:rPr/>
      </w:pPr>
      <w:r>
        <w:rPr/>
      </w:r>
    </w:p>
    <w:p>
      <w:pPr>
        <w:pStyle w:val="BodyTextIndent"/>
        <w:numPr>
          <w:ilvl w:val="0"/>
          <w:numId w:val="2"/>
        </w:numPr>
        <w:rPr/>
      </w:pPr>
      <w:r>
        <w:rPr/>
        <w:t>Need talking points (“Bigger RTOs 101”) (John’s draft circulated on 8/30/01)</w:t>
      </w:r>
    </w:p>
    <w:p>
      <w:pPr>
        <w:pStyle w:val="BodyTextIndent"/>
        <w:rPr/>
      </w:pPr>
      <w:r>
        <w:rPr/>
      </w:r>
    </w:p>
    <w:p>
      <w:pPr>
        <w:pStyle w:val="BodyTextIndent"/>
        <w:numPr>
          <w:ilvl w:val="1"/>
          <w:numId w:val="2"/>
        </w:numPr>
        <w:rPr/>
      </w:pPr>
      <w:r>
        <w:rPr/>
        <w:t>FERC has found discrimination in current transmission structure</w:t>
      </w:r>
    </w:p>
    <w:p>
      <w:pPr>
        <w:pStyle w:val="BodyTextIndent"/>
        <w:numPr>
          <w:ilvl w:val="1"/>
          <w:numId w:val="2"/>
        </w:numPr>
        <w:rPr/>
      </w:pPr>
      <w:r>
        <w:rPr/>
        <w:t>FERC has tried a voluntary approach, but there has been foot-dragging</w:t>
      </w:r>
    </w:p>
    <w:p>
      <w:pPr>
        <w:pStyle w:val="BodyTextIndent"/>
        <w:numPr>
          <w:ilvl w:val="1"/>
          <w:numId w:val="2"/>
        </w:numPr>
        <w:rPr/>
      </w:pPr>
      <w:r>
        <w:rPr/>
        <w:t>Must confront “red herring” that this is a question of federal v. state jurisdiction – question is not whether regional, but what kind of regions</w:t>
      </w:r>
    </w:p>
    <w:p>
      <w:pPr>
        <w:pStyle w:val="BodyTextIndent"/>
        <w:numPr>
          <w:ilvl w:val="1"/>
          <w:numId w:val="2"/>
        </w:numPr>
        <w:rPr/>
      </w:pPr>
      <w:r>
        <w:rPr/>
        <w:t>RTOs must match up with “natural markets” (need maps and data)</w:t>
      </w:r>
    </w:p>
    <w:p>
      <w:pPr>
        <w:pStyle w:val="BodyTextIndent"/>
        <w:numPr>
          <w:ilvl w:val="1"/>
          <w:numId w:val="2"/>
        </w:numPr>
        <w:rPr/>
      </w:pPr>
      <w:r>
        <w:rPr/>
        <w:t>Other advantages of “Super RTOs” and what happens if FERC stalls.</w:t>
      </w:r>
    </w:p>
    <w:p>
      <w:pPr>
        <w:pStyle w:val="BodyTextIndent"/>
        <w:ind w:start="0" w:end="0"/>
        <w:rPr/>
      </w:pPr>
      <w:r>
        <w:rPr/>
      </w:r>
    </w:p>
    <w:p>
      <w:pPr>
        <w:pStyle w:val="BodyTextIndent"/>
        <w:numPr>
          <w:ilvl w:val="0"/>
          <w:numId w:val="2"/>
        </w:numPr>
        <w:rPr/>
      </w:pPr>
      <w:r>
        <w:rPr/>
        <w:t xml:space="preserve">Distribute full or excerpted portions of </w:t>
      </w:r>
      <w:r>
        <w:rPr>
          <w:i/>
          <w:iCs/>
        </w:rPr>
        <w:t>The Washington Post</w:t>
      </w:r>
      <w:r>
        <w:rPr/>
        <w:t xml:space="preserve"> electricity series to Senate and House energy committees and others on Capitol Hill (Quinn Gillespie to prepare excerpts by Sept. 4</w:t>
      </w:r>
      <w:r>
        <w:rPr>
          <w:vertAlign w:val="superscript"/>
        </w:rPr>
        <w:t>th</w:t>
      </w:r>
      <w:r>
        <w:rPr/>
        <w:t xml:space="preserve"> with mass distribution by Q-G and customized distribution by outside Enron consultants) (Pat).</w:t>
      </w:r>
    </w:p>
    <w:p>
      <w:pPr>
        <w:pStyle w:val="BodyTextIndent"/>
        <w:tabs>
          <w:tab w:val="clear" w:pos="720"/>
          <w:tab w:val="left" w:pos="1080" w:leader="none"/>
        </w:tabs>
        <w:rPr/>
      </w:pPr>
      <w:r>
        <w:rPr/>
      </w:r>
    </w:p>
    <w:p>
      <w:pPr>
        <w:pStyle w:val="BodyTextIndent"/>
        <w:numPr>
          <w:ilvl w:val="0"/>
          <w:numId w:val="2"/>
        </w:numPr>
        <w:rPr/>
      </w:pPr>
      <w:r>
        <w:rPr/>
        <w:t>Implement counter-measures to educate House Energy and Commerce Committee about anti-RTO provisions of H.R. 2814, the Sawyer-Burr bill on transmission policy that includes voluntary RTO language.</w:t>
      </w:r>
    </w:p>
    <w:p>
      <w:pPr>
        <w:pStyle w:val="BodyTextIndent"/>
        <w:ind w:start="0" w:end="0"/>
        <w:rPr/>
      </w:pPr>
      <w:r>
        <w:rPr/>
      </w:r>
    </w:p>
    <w:p>
      <w:pPr>
        <w:pStyle w:val="BodyTextIndent"/>
        <w:numPr>
          <w:ilvl w:val="1"/>
          <w:numId w:val="2"/>
        </w:numPr>
        <w:tabs>
          <w:tab w:val="clear" w:pos="720"/>
          <w:tab w:val="left" w:pos="1440" w:leader="none"/>
        </w:tabs>
        <w:rPr/>
      </w:pPr>
      <w:r>
        <w:rPr/>
        <w:t>Draft talking points on H.R. 2814 (Shelk doing draft for EPSA letter below and for Enron lobbying visits – sent to EPSA)</w:t>
      </w:r>
    </w:p>
    <w:p>
      <w:pPr>
        <w:pStyle w:val="BodyTextIndent"/>
        <w:numPr>
          <w:ilvl w:val="1"/>
          <w:numId w:val="2"/>
        </w:numPr>
        <w:tabs>
          <w:tab w:val="clear" w:pos="720"/>
          <w:tab w:val="left" w:pos="1440" w:leader="none"/>
        </w:tabs>
        <w:rPr/>
      </w:pPr>
      <w:r>
        <w:rPr/>
        <w:t>EPSA to send letter to House Energy and Commerce Committee next week (pending)</w:t>
      </w:r>
    </w:p>
    <w:p>
      <w:pPr>
        <w:pStyle w:val="BodyTextIndent"/>
        <w:numPr>
          <w:ilvl w:val="1"/>
          <w:numId w:val="2"/>
        </w:numPr>
        <w:tabs>
          <w:tab w:val="clear" w:pos="720"/>
          <w:tab w:val="left" w:pos="1440" w:leader="none"/>
        </w:tabs>
        <w:rPr/>
      </w:pPr>
      <w:r>
        <w:rPr/>
        <w:t>Sawyer and Burr lobbying visits (Burr staff meeting is on 8/29/01; need to set up a Sawyer staff meeting ASAP)(John).</w:t>
      </w:r>
    </w:p>
    <w:p>
      <w:pPr>
        <w:pStyle w:val="BodyTextIndent"/>
        <w:tabs>
          <w:tab w:val="clear" w:pos="720"/>
          <w:tab w:val="left" w:pos="1440" w:leader="none"/>
        </w:tabs>
        <w:rPr/>
      </w:pPr>
      <w:r>
        <w:rPr/>
      </w:r>
    </w:p>
    <w:p>
      <w:pPr>
        <w:pStyle w:val="BodyTextIndent"/>
        <w:numPr>
          <w:ilvl w:val="0"/>
          <w:numId w:val="2"/>
        </w:numPr>
        <w:tabs>
          <w:tab w:val="clear" w:pos="720"/>
          <w:tab w:val="left" w:pos="1440" w:leader="none"/>
        </w:tabs>
        <w:rPr/>
      </w:pPr>
      <w:r>
        <w:rPr/>
        <w:t>Determine relevant political resources and role, if any, for Enron state lobbyists in federal legislative efforts (e.g., Dan Allegretti is coming to DC to make the rounds of New England congressional offices in September).</w:t>
      </w:r>
    </w:p>
    <w:p>
      <w:pPr>
        <w:pStyle w:val="BodyTextIndent"/>
        <w:tabs>
          <w:tab w:val="clear" w:pos="720"/>
          <w:tab w:val="left" w:pos="1080" w:leader="none"/>
          <w:tab w:val="left" w:pos="1440" w:leader="none"/>
        </w:tabs>
        <w:ind w:start="0" w:end="0"/>
        <w:rPr/>
      </w:pPr>
      <w:r>
        <w:rPr/>
      </w:r>
    </w:p>
    <w:p>
      <w:pPr>
        <w:pStyle w:val="BodyTextIndent"/>
        <w:numPr>
          <w:ilvl w:val="0"/>
          <w:numId w:val="2"/>
        </w:numPr>
        <w:tabs>
          <w:tab w:val="left" w:pos="720" w:leader="none"/>
          <w:tab w:val="left" w:pos="1440" w:leader="none"/>
        </w:tabs>
        <w:rPr/>
      </w:pPr>
      <w:r>
        <w:rPr/>
        <w:t>Continue to work with the Executive Branch on RTO legislative language and public outreach activities – White House (Energy Task Force, Public Liaison, Legislative Affairs, Economic Affairs), Department of Energy and FERC.</w:t>
      </w:r>
    </w:p>
    <w:p>
      <w:pPr>
        <w:pStyle w:val="BodyTextIndent"/>
        <w:tabs>
          <w:tab w:val="left" w:pos="720" w:leader="none"/>
          <w:tab w:val="left" w:pos="1440" w:leader="none"/>
        </w:tabs>
        <w:ind w:start="0" w:end="0"/>
        <w:rPr/>
      </w:pPr>
      <w:r>
        <w:rPr/>
      </w:r>
    </w:p>
    <w:p>
      <w:pPr>
        <w:pStyle w:val="BodyTextIndent"/>
        <w:numPr>
          <w:ilvl w:val="0"/>
          <w:numId w:val="2"/>
        </w:numPr>
        <w:tabs>
          <w:tab w:val="left" w:pos="720" w:leader="none"/>
          <w:tab w:val="left" w:pos="1440" w:leader="none"/>
        </w:tabs>
        <w:rPr/>
      </w:pPr>
      <w:r>
        <w:rPr/>
        <w:t>Schedule meetings with offices of the House and Senate Republican and Democratic leaderships with same messages as energy committee meetings.</w:t>
      </w:r>
    </w:p>
    <w:p>
      <w:pPr>
        <w:pStyle w:val="BodyTextIndent"/>
        <w:tabs>
          <w:tab w:val="left" w:pos="720" w:leader="none"/>
          <w:tab w:val="left" w:pos="1440" w:leader="none"/>
        </w:tabs>
        <w:ind w:start="0" w:end="0"/>
        <w:rPr/>
      </w:pPr>
      <w:r>
        <w:rPr/>
      </w:r>
    </w:p>
    <w:p>
      <w:pPr>
        <w:pStyle w:val="BodyTextIndent"/>
        <w:numPr>
          <w:ilvl w:val="0"/>
          <w:numId w:val="2"/>
        </w:numPr>
        <w:tabs>
          <w:tab w:val="left" w:pos="720" w:leader="none"/>
          <w:tab w:val="left" w:pos="1440" w:leader="none"/>
        </w:tabs>
        <w:rPr/>
      </w:pPr>
      <w:r>
        <w:rPr/>
        <w:t>Develop schedule of Enron senior executive meetings on RTOs in Washington.</w:t>
      </w:r>
    </w:p>
    <w:p>
      <w:pPr>
        <w:pStyle w:val="BodyTextIndent"/>
        <w:tabs>
          <w:tab w:val="left" w:pos="720" w:leader="none"/>
          <w:tab w:val="left" w:pos="1440" w:leader="none"/>
        </w:tabs>
        <w:ind w:start="0" w:end="0"/>
        <w:rPr/>
      </w:pPr>
      <w:r>
        <w:rPr/>
      </w:r>
    </w:p>
    <w:p>
      <w:pPr>
        <w:pStyle w:val="BodyTextIndent"/>
        <w:numPr>
          <w:ilvl w:val="0"/>
          <w:numId w:val="2"/>
        </w:numPr>
        <w:tabs>
          <w:tab w:val="left" w:pos="720" w:leader="none"/>
          <w:tab w:val="left" w:pos="1440" w:leader="none"/>
        </w:tabs>
        <w:rPr/>
      </w:pPr>
      <w:r>
        <w:rPr/>
        <w:t>Washington coordination with Houston public relations on RTO issues (Pat</w:t>
      </w:r>
    </w:p>
    <w:p>
      <w:pPr>
        <w:pStyle w:val="BodyTextIndent"/>
        <w:tabs>
          <w:tab w:val="left" w:pos="720" w:leader="none"/>
          <w:tab w:val="left" w:pos="1440" w:leader="none"/>
        </w:tabs>
        <w:ind w:start="0" w:end="0"/>
        <w:rPr/>
      </w:pPr>
      <w:r>
        <w:rPr/>
      </w:r>
    </w:p>
    <w:p>
      <w:pPr>
        <w:pStyle w:val="BodyTextIndent"/>
        <w:numPr>
          <w:ilvl w:val="0"/>
          <w:numId w:val="2"/>
        </w:numPr>
        <w:tabs>
          <w:tab w:val="left" w:pos="720" w:leader="none"/>
          <w:tab w:val="left" w:pos="1440" w:leader="none"/>
        </w:tabs>
        <w:rPr/>
      </w:pPr>
      <w:r>
        <w:rPr/>
        <w:t>Outreach with non-energy committee members of Texas congressional delegation (Chris to coordinate D's and Pat to coordinate R's).</w:t>
      </w:r>
    </w:p>
    <w:p>
      <w:pPr>
        <w:pStyle w:val="BodyTextIndent"/>
        <w:tabs>
          <w:tab w:val="left" w:pos="720" w:leader="none"/>
          <w:tab w:val="left" w:pos="1440" w:leader="none"/>
        </w:tabs>
        <w:ind w:start="0" w:end="0"/>
        <w:rPr/>
      </w:pPr>
      <w:r>
        <w:rPr/>
      </w:r>
    </w:p>
    <w:p>
      <w:pPr>
        <w:pStyle w:val="BodyTextIndent"/>
        <w:tabs>
          <w:tab w:val="left" w:pos="720" w:leader="none"/>
          <w:tab w:val="left" w:pos="1080" w:leader="none"/>
          <w:tab w:val="left" w:pos="1440" w:leader="none"/>
        </w:tabs>
        <w:rPr/>
      </w:pPr>
      <w:r>
        <w:rPr/>
        <w:t>We need Texas-based talking points on RTOs (e.g., ERCOT and impact of FERC’s RTO plans on success of Texas-based companies and Texas economy) to supplement generic talking points.</w:t>
      </w:r>
    </w:p>
    <w:p>
      <w:pPr>
        <w:pStyle w:val="BodyTextIndent"/>
        <w:tabs>
          <w:tab w:val="left" w:pos="720" w:leader="none"/>
          <w:tab w:val="left" w:pos="1080" w:leader="none"/>
          <w:tab w:val="left" w:pos="1440" w:leader="none"/>
        </w:tabs>
        <w:rPr/>
      </w:pPr>
      <w:r>
        <w:rPr/>
      </w:r>
    </w:p>
    <w:p>
      <w:pPr>
        <w:pStyle w:val="BodyTextIndent"/>
        <w:numPr>
          <w:ilvl w:val="0"/>
          <w:numId w:val="2"/>
        </w:numPr>
        <w:tabs>
          <w:tab w:val="left" w:pos="720" w:leader="none"/>
          <w:tab w:val="left" w:pos="1440" w:leader="none"/>
        </w:tabs>
        <w:rPr/>
      </w:pPr>
      <w:r>
        <w:rPr/>
        <w:t>Analyze tax issues relating to RTOs and how to surmount legislative roadblocks unique to the tax issues (since FERC’s RTO plan may not work if Congress does not address these tax issues, which have been scored as costing the U.S. Treasury a significant amount of revenue) (Chris).</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lvl>
    <w:lvl w:ilvl="1">
      <w:start w:val="1"/>
      <w:numFmt w:val="lowerLetter"/>
      <w:lvlText w:val="%2."/>
      <w:lvlJc w:val="start"/>
      <w:pPr>
        <w:tabs>
          <w:tab w:val="num" w:pos="1800"/>
        </w:tabs>
        <w:ind w:start="1800" w:hanging="360"/>
      </w:pPr>
      <w:rPr/>
    </w:lvl>
    <w:lvl w:ilvl="2">
      <w:start w:val="1"/>
      <w:numFmt w:val="decimal"/>
      <w:lvlText w:val="%3."/>
      <w:lvlJc w:val="start"/>
      <w:pPr>
        <w:tabs>
          <w:tab w:val="num" w:pos="2700"/>
        </w:tabs>
        <w:ind w:start="2700" w:hanging="36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sz w:val="26"/>
      <w:u w:val="single"/>
    </w:rPr>
  </w:style>
  <w:style w:type="paragraph" w:styleId="Heading2">
    <w:name w:val="heading 2"/>
    <w:basedOn w:val="Normal"/>
    <w:next w:val="Normal"/>
    <w:qFormat/>
    <w:pPr>
      <w:keepNext w:val="true"/>
      <w:numPr>
        <w:ilvl w:val="1"/>
        <w:numId w:val="1"/>
      </w:numPr>
      <w:ind w:hanging="0" w:start="360" w:end="0"/>
      <w:jc w:val="both"/>
      <w:outlineLvl w:val="1"/>
    </w:pPr>
    <w:rPr>
      <w:sz w:val="26"/>
      <w:u w:val="single"/>
    </w:rPr>
  </w:style>
  <w:style w:type="paragraph" w:styleId="Heading3">
    <w:name w:val="heading 3"/>
    <w:basedOn w:val="Normal"/>
    <w:next w:val="Normal"/>
    <w:qFormat/>
    <w:pPr>
      <w:keepNext w:val="true"/>
      <w:numPr>
        <w:ilvl w:val="2"/>
        <w:numId w:val="1"/>
      </w:numPr>
      <w:jc w:val="center"/>
      <w:outlineLvl w:val="2"/>
    </w:pPr>
    <w:rPr>
      <w:b/>
      <w:bCs/>
      <w:sz w:val="26"/>
    </w:rPr>
  </w:style>
  <w:style w:type="character" w:styleId="WW8Num2z1">
    <w:name w:val="WW8Num2z1"/>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080" w:end="0"/>
      <w:jc w:val="both"/>
    </w:pPr>
    <w:rPr>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2001-08-30T18:16:00Z</dcterms:created>
  <dc:creator>JSHELK</dc:creator>
  <dc:description/>
  <dc:language>en-CA</dc:language>
  <cp:lastModifiedBy>JSHELK</cp:lastModifiedBy>
  <cp:lastPrinted>2001-08-28T14:16:00Z</cp:lastPrinted>
  <dcterms:modified xsi:type="dcterms:W3CDTF">2001-08-30T18:16:00Z</dcterms:modified>
  <cp:revision>2</cp:revision>
  <dc:subject/>
  <dc:title>DRAFT RTO LEGISLATIVE PLAN – STAGE ONE (“TRIAGE”)</dc:title>
</cp:coreProperties>
</file>