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DRAFT NOTICE </w:t>
      </w:r>
    </w:p>
    <w:p>
      <w:pPr>
        <w:pStyle w:val="Normal"/>
        <w:rPr>
          <w:sz w:val="24"/>
        </w:rPr>
      </w:pPr>
      <w:r>
        <w:rPr>
          <w:sz w:val="24"/>
        </w:rPr>
        <w:t>[to be typed on the notepaper of Dabhol Power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April 7, 2001</w:t>
      </w:r>
    </w:p>
    <w:p>
      <w:pPr>
        <w:pStyle w:val="Normal"/>
        <w:rPr>
          <w:sz w:val="24"/>
        </w:rPr>
      </w:pPr>
      <w:r>
        <w:rPr>
          <w:sz w:val="24"/>
        </w:rPr>
      </w:r>
    </w:p>
    <w:p>
      <w:pPr>
        <w:pStyle w:val="Normal"/>
        <w:rPr>
          <w:sz w:val="24"/>
        </w:rPr>
      </w:pPr>
      <w:r>
        <w:rPr>
          <w:sz w:val="24"/>
        </w:rPr>
        <w:t>The Chairman MSEB</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r>
    </w:p>
    <w:p>
      <w:pPr>
        <w:pStyle w:val="Normal"/>
        <w:rPr>
          <w:b/>
          <w:sz w:val="24"/>
        </w:rPr>
      </w:pPr>
      <w:r>
        <w:rPr>
          <w:b/>
          <w:sz w:val="24"/>
        </w:rPr>
        <w:t>DABHOL POWER COMPANY - NOTICE OF POLITICAL FORCE MAJEURE</w:t>
      </w:r>
    </w:p>
    <w:p>
      <w:pPr>
        <w:pStyle w:val="Normal"/>
        <w:rPr>
          <w:b/>
          <w:sz w:val="24"/>
        </w:rPr>
      </w:pPr>
      <w:r>
        <w:rPr>
          <w:b/>
          <w:sz w:val="24"/>
        </w:rPr>
      </w:r>
    </w:p>
    <w:p>
      <w:pPr>
        <w:pStyle w:val="Normal"/>
        <w:rPr>
          <w:sz w:val="24"/>
        </w:rPr>
      </w:pPr>
      <w:r>
        <w:rPr>
          <w:sz w:val="24"/>
        </w:rPr>
        <w:t>Dear Sir:</w:t>
      </w:r>
    </w:p>
    <w:p>
      <w:pPr>
        <w:pStyle w:val="Normal"/>
        <w:rPr>
          <w:b/>
          <w:sz w:val="24"/>
        </w:rPr>
      </w:pPr>
      <w:r>
        <w:rPr>
          <w:b/>
          <w:sz w:val="24"/>
        </w:rPr>
      </w:r>
    </w:p>
    <w:p>
      <w:pPr>
        <w:pStyle w:val="Normal"/>
        <w:ind w:firstLine="720" w:end="0"/>
        <w:rPr/>
      </w:pPr>
      <w:r>
        <w:rPr>
          <w:bCs/>
          <w:sz w:val="24"/>
        </w:rPr>
        <w:t>We refer to the Power Purchase Agreement entered into between us on 8</w:t>
      </w:r>
      <w:r>
        <w:rPr>
          <w:bCs/>
          <w:sz w:val="24"/>
          <w:vertAlign w:val="superscript"/>
        </w:rPr>
        <w:t>th</w:t>
      </w:r>
      <w:r>
        <w:rPr>
          <w:bCs/>
          <w:sz w:val="24"/>
        </w:rPr>
        <w:t xml:space="preserve"> December 1993  (as amended and supplemented by amending agreements entered into on 2</w:t>
      </w:r>
      <w:r>
        <w:rPr>
          <w:bCs/>
          <w:sz w:val="24"/>
          <w:vertAlign w:val="superscript"/>
        </w:rPr>
        <w:t>nd</w:t>
      </w:r>
      <w:r>
        <w:rPr>
          <w:bCs/>
          <w:sz w:val="24"/>
        </w:rPr>
        <w:t xml:space="preserve"> February 1995, 26</w:t>
      </w:r>
      <w:r>
        <w:rPr>
          <w:bCs/>
          <w:sz w:val="24"/>
          <w:vertAlign w:val="superscript"/>
        </w:rPr>
        <w:t>th</w:t>
      </w:r>
      <w:r>
        <w:rPr>
          <w:bCs/>
          <w:sz w:val="24"/>
        </w:rPr>
        <w:t xml:space="preserve"> July 1996 and 9</w:t>
      </w:r>
      <w:r>
        <w:rPr>
          <w:bCs/>
          <w:sz w:val="24"/>
          <w:vertAlign w:val="superscript"/>
        </w:rPr>
        <w:t>th</w:t>
      </w:r>
      <w:r>
        <w:rPr>
          <w:bCs/>
          <w:sz w:val="24"/>
        </w:rPr>
        <w:t xml:space="preserve"> December 1998, respectively) (“the PPA”). Save where the context requires otherwise, capitalised terms employed in this letter bear the meaning ascribed to them in the PPA.</w:t>
      </w:r>
    </w:p>
    <w:p>
      <w:pPr>
        <w:pStyle w:val="Normal"/>
        <w:rPr>
          <w:bCs/>
          <w:sz w:val="24"/>
        </w:rPr>
      </w:pPr>
      <w:r>
        <w:rPr>
          <w:bCs/>
          <w:sz w:val="24"/>
        </w:rPr>
      </w:r>
    </w:p>
    <w:p>
      <w:pPr>
        <w:pStyle w:val="Normal"/>
        <w:ind w:firstLine="720" w:end="0"/>
        <w:rPr>
          <w:sz w:val="24"/>
        </w:rPr>
      </w:pPr>
      <w:r>
        <w:rPr>
          <w:sz w:val="24"/>
        </w:rPr>
        <w:t>Pursuant to the provisions of Clause 16.3 of the PPA, we hereby notify you of the occurrence of certain events and circumstances that have had or are likely to have a material and adverse effect upon our performance of our obligations under the PPA and which, therefore, constitute events and circumstances of Political Force Majeure. The events and circumstances upon which we rely in providing this notice are generally described below.</w:t>
      </w:r>
    </w:p>
    <w:p>
      <w:pPr>
        <w:pStyle w:val="Normal"/>
        <w:rPr>
          <w:sz w:val="24"/>
        </w:rPr>
      </w:pPr>
      <w:r>
        <w:rPr>
          <w:sz w:val="24"/>
        </w:rPr>
      </w:r>
    </w:p>
    <w:p>
      <w:pPr>
        <w:pStyle w:val="Normal"/>
        <w:rPr/>
      </w:pPr>
      <w:r>
        <w:rPr>
          <w:sz w:val="24"/>
        </w:rPr>
        <w:t xml:space="preserve">1. </w:t>
      </w:r>
      <w:r>
        <w:rPr>
          <w:b/>
          <w:sz w:val="24"/>
        </w:rPr>
        <w:t>Reliance on GOI, GOM and MSEB</w:t>
      </w:r>
    </w:p>
    <w:p>
      <w:pPr>
        <w:pStyle w:val="Normal"/>
        <w:rPr>
          <w:b/>
          <w:sz w:val="24"/>
        </w:rPr>
      </w:pPr>
      <w:r>
        <w:rPr>
          <w:b/>
          <w:sz w:val="24"/>
        </w:rPr>
      </w:r>
    </w:p>
    <w:p>
      <w:pPr>
        <w:pStyle w:val="Normal"/>
        <w:rPr>
          <w:sz w:val="24"/>
        </w:rPr>
      </w:pPr>
      <w:r>
        <w:rPr>
          <w:sz w:val="24"/>
        </w:rPr>
        <w:t>1.1</w:t>
        <w:tab/>
        <w:t>At the request and invitation of the Government of India (“the GOI”), the Government of Maharashtra (“the GOM”) and the MSEB, DPC and its sponsors, Enron Corp., General Electric and Bechtel (“the Sponsors”), acting in good faith, agreed to make substantial equity investments to develop and implement the Dabhol Power Project (“the Project”). The Sponsors’ contribution to the Project constitutes the single largest foreign investment made into India and continues despite the fact that virtually all other foreign investors have withdrawn from the country. Since 1993, the Sponsors have invested [$884m] of equity into DPC.  The Lenders have evidenced their commitment to the Project by committing [$ bn], of which [$  ]  has already been disbursed.</w:t>
      </w:r>
    </w:p>
    <w:p>
      <w:pPr>
        <w:pStyle w:val="Normal"/>
        <w:rPr>
          <w:sz w:val="24"/>
        </w:rPr>
      </w:pPr>
      <w:r>
        <w:rPr>
          <w:sz w:val="24"/>
        </w:rPr>
      </w:r>
    </w:p>
    <w:p>
      <w:pPr>
        <w:pStyle w:val="Normal"/>
        <w:rPr/>
      </w:pPr>
      <w:r>
        <w:rPr>
          <w:sz w:val="24"/>
        </w:rPr>
        <w:t>1.2</w:t>
        <w:tab/>
        <w:t>In agreeing to invest in the Project, the Sponsors placed substantial reliance upon</w:t>
      </w:r>
      <w:r>
        <w:rPr>
          <w:i/>
          <w:iCs/>
          <w:sz w:val="24"/>
        </w:rPr>
        <w:t>, inter alia:</w:t>
      </w:r>
      <w:r>
        <w:rPr>
          <w:sz w:val="24"/>
        </w:rPr>
        <w:t xml:space="preserve"> the MSEB representations to DPC projecting the MSEB and the State of Maharashtra’s power requirements, the agreement by the GOI and the GOM to provide sovereign guarantees securing the payment obligations of the MSEB under the PPA, and the commitment by GOM to support and encourage the further development and completion of the Project as evidenced by the execution of the State Support Agreement dated 24</w:t>
      </w:r>
      <w:r>
        <w:rPr>
          <w:sz w:val="24"/>
          <w:vertAlign w:val="superscript"/>
        </w:rPr>
        <w:t>th</w:t>
      </w:r>
      <w:r>
        <w:rPr>
          <w:sz w:val="24"/>
        </w:rPr>
        <w:t xml:space="preserve"> June 1994 and the Supplemental State Support agreement dated 27</w:t>
      </w:r>
      <w:r>
        <w:rPr>
          <w:sz w:val="24"/>
          <w:vertAlign w:val="superscript"/>
        </w:rPr>
        <w:t>th</w:t>
      </w:r>
      <w:r>
        <w:rPr>
          <w:sz w:val="24"/>
        </w:rPr>
        <w:t xml:space="preserve"> July 1996 (“the State Support Agreement”). As described in more detail below, the MSEB/GOM/GOI have, without justification, acted inconsistently with these representations and agreements and have adversely and materially impacted DPC’s performance of its obligations to the Project.</w:t>
      </w:r>
    </w:p>
    <w:p>
      <w:pPr>
        <w:pStyle w:val="Normal"/>
        <w:rPr>
          <w:sz w:val="24"/>
        </w:rPr>
      </w:pPr>
      <w:r>
        <w:rPr>
          <w:sz w:val="24"/>
        </w:rPr>
      </w:r>
    </w:p>
    <w:p>
      <w:pPr>
        <w:pStyle w:val="Normal"/>
        <w:rPr>
          <w:sz w:val="24"/>
        </w:rPr>
      </w:pPr>
      <w:r>
        <w:rPr>
          <w:sz w:val="24"/>
        </w:rPr>
        <w:t>1.3</w:t>
        <w:tab/>
        <w:t>In substantial reliance upon the commitments made by the GOI, the GOM and the MSEB, other counterparties involved in the Project have made significant investments and/or commitments in respect of the Project. These include the Governments of Oman and Abu Dhabi (in respect of the supply of LNG) and Mitsui and Shipping Corporation of India (in respect of the LNG Tanker).</w:t>
      </w:r>
    </w:p>
    <w:p>
      <w:pPr>
        <w:pStyle w:val="Normal"/>
        <w:rPr>
          <w:sz w:val="24"/>
        </w:rPr>
      </w:pPr>
      <w:r>
        <w:rPr>
          <w:sz w:val="24"/>
        </w:rPr>
        <w:t xml:space="preserve"> </w:t>
      </w:r>
    </w:p>
    <w:p>
      <w:pPr>
        <w:pStyle w:val="Normal"/>
        <w:rPr>
          <w:sz w:val="24"/>
        </w:rPr>
      </w:pPr>
      <w:r>
        <w:rPr>
          <w:sz w:val="24"/>
        </w:rPr>
        <w:t xml:space="preserve">1.4 </w:t>
        <w:tab/>
        <w:t>In 1998, even after a politically motivated attempt to suspend the Project in 1995 was reversed following litigation and arbitration in the Indian Courts, the GOI, the GOM and the MSEB reaffirmed their support for the Project by exercising the option to develop Phase II. Again, as they did in connection with the development of Phase I of the Project, the GOM and, in particular, the MSEB, confirmed to GOI that Maharashtra and MSEB had sufficient capacity requirements to absorb Phase II power. The GOI and The GOM also reaffirmed the continuing validity of the GOI Guarantee and the State Support Agreement.</w:t>
      </w:r>
    </w:p>
    <w:p>
      <w:pPr>
        <w:pStyle w:val="Normal"/>
        <w:rPr>
          <w:sz w:val="24"/>
        </w:rPr>
      </w:pPr>
      <w:r>
        <w:rPr>
          <w:sz w:val="24"/>
        </w:rPr>
      </w:r>
    </w:p>
    <w:p>
      <w:pPr>
        <w:pStyle w:val="Normal"/>
        <w:rPr>
          <w:sz w:val="24"/>
        </w:rPr>
      </w:pPr>
      <w:r>
        <w:rPr>
          <w:sz w:val="24"/>
        </w:rPr>
        <w:t>1.5</w:t>
        <w:tab/>
        <w:t xml:space="preserve">Despite the commitment of DPC, its Sponsors, lenders and counterparties, the GOI, the GOM and the MSEB have engaged in a concerted, systematic and co-ordinated course of conduct plainly designed to have a material and adverse effect upon DPC’s ability to perform its obligations under the PPA. Some of the more blatant of these acts are described below. </w:t>
      </w:r>
    </w:p>
    <w:p>
      <w:pPr>
        <w:pStyle w:val="Normal"/>
        <w:rPr>
          <w:sz w:val="24"/>
        </w:rPr>
      </w:pPr>
      <w:r>
        <w:rPr>
          <w:sz w:val="24"/>
        </w:rPr>
      </w:r>
    </w:p>
    <w:p>
      <w:pPr>
        <w:pStyle w:val="Normal"/>
        <w:rPr>
          <w:sz w:val="24"/>
        </w:rPr>
      </w:pPr>
      <w:r>
        <w:rPr>
          <w:sz w:val="24"/>
        </w:rPr>
      </w:r>
    </w:p>
    <w:p>
      <w:pPr>
        <w:pStyle w:val="Normal"/>
        <w:rPr>
          <w:b/>
          <w:sz w:val="24"/>
        </w:rPr>
      </w:pPr>
      <w:r>
        <w:rPr>
          <w:sz w:val="24"/>
        </w:rPr>
        <w:t>2</w:t>
        <w:tab/>
      </w:r>
      <w:r>
        <w:rPr>
          <w:b/>
          <w:bCs/>
          <w:sz w:val="24"/>
        </w:rPr>
        <w:t>Failure to Honour Obligations to the Project</w:t>
      </w:r>
    </w:p>
    <w:p>
      <w:pPr>
        <w:pStyle w:val="Normal"/>
        <w:rPr>
          <w:b/>
          <w:sz w:val="24"/>
        </w:rPr>
      </w:pPr>
      <w:r>
        <w:rPr>
          <w:b/>
          <w:sz w:val="24"/>
        </w:rPr>
      </w:r>
    </w:p>
    <w:p>
      <w:pPr>
        <w:pStyle w:val="Normal"/>
        <w:rPr>
          <w:sz w:val="24"/>
        </w:rPr>
      </w:pPr>
      <w:r>
        <w:rPr>
          <w:sz w:val="24"/>
        </w:rPr>
        <w:t>2.1</w:t>
        <w:tab/>
        <w:t>Having exercised the option to develop Phase II, the GOM and the MSEB (with the support of the GOI) have adopted the following positions, notwithstanding their contractual obligations:</w:t>
      </w:r>
    </w:p>
    <w:p>
      <w:pPr>
        <w:pStyle w:val="Normal"/>
        <w:rPr>
          <w:sz w:val="24"/>
        </w:rPr>
      </w:pPr>
      <w:r>
        <w:rPr>
          <w:sz w:val="24"/>
        </w:rPr>
      </w:r>
    </w:p>
    <w:p>
      <w:pPr>
        <w:pStyle w:val="Normal"/>
        <w:ind w:hanging="720" w:start="1440" w:end="0"/>
        <w:rPr>
          <w:sz w:val="24"/>
        </w:rPr>
      </w:pPr>
      <w:r>
        <w:rPr>
          <w:sz w:val="24"/>
        </w:rPr>
        <w:t xml:space="preserve"> </w:t>
      </w:r>
      <w:r>
        <w:rPr>
          <w:sz w:val="24"/>
        </w:rPr>
        <w:t>a.</w:t>
        <w:tab/>
        <w:t>an unwillingness to absorb Phase I power at a Plant load Factor of 90% as is required pursuant to the terms of the PPA;</w:t>
      </w:r>
    </w:p>
    <w:p>
      <w:pPr>
        <w:pStyle w:val="Normal"/>
        <w:ind w:hanging="660" w:start="1440" w:end="0"/>
        <w:rPr>
          <w:sz w:val="24"/>
        </w:rPr>
      </w:pPr>
      <w:r>
        <w:rPr>
          <w:sz w:val="24"/>
        </w:rPr>
        <w:t>b.</w:t>
        <w:tab/>
        <w:t xml:space="preserve">a failure to meet the demand projections for Phase II upon which DPC relied, </w:t>
      </w:r>
    </w:p>
    <w:p>
      <w:pPr>
        <w:pStyle w:val="Normal"/>
        <w:numPr>
          <w:ilvl w:val="0"/>
          <w:numId w:val="2"/>
        </w:numPr>
        <w:ind w:hanging="660" w:start="1440" w:end="0"/>
        <w:rPr>
          <w:sz w:val="24"/>
        </w:rPr>
      </w:pPr>
      <w:r>
        <w:rPr>
          <w:sz w:val="24"/>
        </w:rPr>
        <w:t xml:space="preserve">     </w:t>
      </w:r>
      <w:r>
        <w:rPr>
          <w:sz w:val="24"/>
        </w:rPr>
        <w:t xml:space="preserve">an unwillingness to meet payment obligations including the                   MSEB’s failure to pay its bills when due or at all, the unwillingness of the GOM to honour the GOM Guarantee and the State Support Agreement and the unwillingness of  the GOI to honour the GOI Guarantee. </w:t>
      </w:r>
    </w:p>
    <w:p>
      <w:pPr>
        <w:pStyle w:val="Normal"/>
        <w:rPr>
          <w:sz w:val="24"/>
        </w:rPr>
      </w:pPr>
      <w:r>
        <w:rPr>
          <w:sz w:val="24"/>
        </w:rPr>
      </w:r>
    </w:p>
    <w:p>
      <w:pPr>
        <w:pStyle w:val="Normal"/>
        <w:rPr>
          <w:sz w:val="24"/>
        </w:rPr>
      </w:pPr>
      <w:r>
        <w:rPr>
          <w:sz w:val="24"/>
        </w:rPr>
        <w:t>2.2</w:t>
        <w:tab/>
        <w:t>Having taken the views described above and with the clear intention of facilitating these views, the GOM and the MSEB, with the knowledge and support of the GOI, have taken an executive and political decision to abuse their political power to frustrate and interfere with DPC’s obligations under the PPA thereby adversely affecting DPC’s ability to perform its obligations arising thereunder.</w:t>
      </w:r>
    </w:p>
    <w:p>
      <w:pPr>
        <w:pStyle w:val="Normal"/>
        <w:rPr>
          <w:sz w:val="24"/>
        </w:rPr>
      </w:pPr>
      <w:r>
        <w:rPr>
          <w:sz w:val="24"/>
        </w:rPr>
      </w:r>
    </w:p>
    <w:p>
      <w:pPr>
        <w:pStyle w:val="Normal"/>
        <w:rPr>
          <w:sz w:val="24"/>
        </w:rPr>
      </w:pPr>
      <w:r>
        <w:rPr>
          <w:sz w:val="24"/>
        </w:rPr>
        <w:t>2.3</w:t>
        <w:tab/>
        <w:t>As a result of the concerted political action taken to implement the policy decisions of the MSEB, the GOM and the GOI, certain examples of which are set out at paragraph 3 below, DPC is in default under its financing agreements. As a result, the Project lenders have informally advised DPC that no more drawdowns will be forthcoming to fund the construction of Phase II. [Moreover, the Contractor has recently indicated that it may not be willing to continue with the construction of Phase II based on the lack of payment by the MSEB, the GOM and the GOI.]</w:t>
      </w:r>
    </w:p>
    <w:p>
      <w:pPr>
        <w:pStyle w:val="Normal"/>
        <w:rPr>
          <w:sz w:val="24"/>
        </w:rPr>
      </w:pPr>
      <w:r>
        <w:rPr>
          <w:sz w:val="24"/>
        </w:rPr>
      </w:r>
    </w:p>
    <w:p>
      <w:pPr>
        <w:pStyle w:val="Normal"/>
        <w:rPr/>
      </w:pPr>
      <w:r>
        <w:rPr>
          <w:sz w:val="24"/>
        </w:rPr>
        <w:t>3</w:t>
        <w:tab/>
      </w:r>
      <w:r>
        <w:rPr>
          <w:b/>
          <w:sz w:val="24"/>
        </w:rPr>
        <w:t>Political Action</w:t>
      </w:r>
    </w:p>
    <w:p>
      <w:pPr>
        <w:pStyle w:val="Normal"/>
        <w:rPr>
          <w:b/>
          <w:sz w:val="24"/>
        </w:rPr>
      </w:pPr>
      <w:r>
        <w:rPr>
          <w:b/>
          <w:sz w:val="24"/>
        </w:rPr>
      </w:r>
    </w:p>
    <w:p>
      <w:pPr>
        <w:pStyle w:val="Normal"/>
        <w:rPr/>
      </w:pPr>
      <w:r>
        <w:rPr>
          <w:sz w:val="24"/>
        </w:rPr>
        <w:t xml:space="preserve">3.1 </w:t>
        <w:tab/>
        <w:t>It is clear that the MSEB is under the financial control of the GOM to the extent that funding for activities of the MSEB is supplied, in part, by the GOM.  The substance and the reality of the position is that through (</w:t>
      </w:r>
      <w:r>
        <w:rPr>
          <w:i/>
          <w:iCs/>
          <w:sz w:val="24"/>
        </w:rPr>
        <w:t xml:space="preserve">inter alia </w:t>
      </w:r>
      <w:r>
        <w:rPr>
          <w:sz w:val="24"/>
        </w:rPr>
        <w:t xml:space="preserve">) its financial control of the MSEB and through its nominees on the board of the MSEB, the GOM directs the policy of the MSEB and the implementation of that policy.  It is through the MSEB that the GOM implements its own policies, executive decisions and executive acts. Accordingly, the decisions of the MSEB concerning whether it should comply with its obligations under the PPA or not, as the case may be, are in substance, joint decisions of the GOM. Similarly, to the extent that the GOI provides financial support to the GOM, the GOM can be influenced by the directives and policy decisions of the GOI. </w:t>
      </w:r>
    </w:p>
    <w:p>
      <w:pPr>
        <w:pStyle w:val="Normal"/>
        <w:rPr>
          <w:sz w:val="24"/>
        </w:rPr>
      </w:pPr>
      <w:r>
        <w:rPr>
          <w:sz w:val="24"/>
        </w:rPr>
      </w:r>
    </w:p>
    <w:p>
      <w:pPr>
        <w:pStyle w:val="Normal"/>
        <w:rPr/>
      </w:pPr>
      <w:r>
        <w:rPr>
          <w:sz w:val="24"/>
        </w:rPr>
        <w:t>3.2</w:t>
        <w:tab/>
        <w:t xml:space="preserve">To further its own political motivations and policies, the GOM has made an executive decision to seek ways in which it and the GOI and the MSEB can avoid the commercial commitments they have made to the Project. For example, by its Resolution dated 9 February 2001, the GOM created and appointed the Energy Review Committee to conduct a purportedly </w:t>
      </w:r>
      <w:r>
        <w:rPr>
          <w:i/>
          <w:iCs/>
          <w:sz w:val="24"/>
        </w:rPr>
        <w:t>general</w:t>
      </w:r>
      <w:r>
        <w:rPr>
          <w:sz w:val="24"/>
        </w:rPr>
        <w:t xml:space="preserve"> review of the power situation in Maharashtra. In fact, this committee has set about to position the MSEB to excuse and/or suspend performance and to renegotiate the PPA and/or to delay the construction of or cause DPC to abandon Phase II of the Project. Supporting this assertion are not only the numerous statements made by representatives of the GOM in connection with the appointment of this committee and how it would relate specifically to the Project,  but also the 9 March 2001 Resolution amending the original terms of reference of the Energy Review Committee to include the following directives:</w:t>
      </w:r>
    </w:p>
    <w:p>
      <w:pPr>
        <w:pStyle w:val="Normal"/>
        <w:rPr>
          <w:sz w:val="24"/>
        </w:rPr>
      </w:pPr>
      <w:r>
        <w:rPr>
          <w:sz w:val="24"/>
        </w:rPr>
      </w:r>
    </w:p>
    <w:p>
      <w:pPr>
        <w:pStyle w:val="Normal"/>
        <w:ind w:start="720" w:end="0"/>
        <w:rPr>
          <w:sz w:val="24"/>
        </w:rPr>
      </w:pPr>
      <w:r>
        <w:rPr>
          <w:sz w:val="24"/>
        </w:rPr>
        <w:t>“</w:t>
      </w:r>
      <w:r>
        <w:rPr>
          <w:sz w:val="24"/>
        </w:rPr>
        <w:t>3. Evaluate and review Dabhol Power Project, review any and all of its clearances, tariff and all aspects in the context of the relevant laws and notifications as may be applicable at any specific time”.</w:t>
      </w:r>
    </w:p>
    <w:p>
      <w:pPr>
        <w:pStyle w:val="Normal"/>
        <w:ind w:start="720" w:end="0"/>
        <w:rPr>
          <w:sz w:val="24"/>
        </w:rPr>
      </w:pPr>
      <w:r>
        <w:rPr>
          <w:sz w:val="24"/>
        </w:rPr>
        <w:t>“</w:t>
      </w:r>
      <w:r>
        <w:rPr>
          <w:sz w:val="24"/>
        </w:rPr>
        <w:t>5. Negotiate with Dabhol Power Company on behalf of State Government and Maharashtra State Electricity Board for lowering the tariff, capital cost and all other aspects of the Dabhol Power Project”.</w:t>
      </w:r>
    </w:p>
    <w:p>
      <w:pPr>
        <w:pStyle w:val="Normal"/>
        <w:rPr>
          <w:sz w:val="24"/>
        </w:rPr>
      </w:pPr>
      <w:r>
        <w:rPr>
          <w:sz w:val="24"/>
        </w:rPr>
      </w:r>
    </w:p>
    <w:p>
      <w:pPr>
        <w:pStyle w:val="Normal"/>
        <w:rPr>
          <w:sz w:val="24"/>
        </w:rPr>
      </w:pPr>
      <w:r>
        <w:rPr>
          <w:sz w:val="24"/>
        </w:rPr>
        <w:t>No other energy producer in the State of Maharashtra was singled out for the specific renegotiation of the contractual terms relevant to its agreement with the MSEB. It is beyond serious dispute that the underlying purpose of this review, and in particular the fact that the terms of reference were amended in the first place, is to use of the executive power of the government to improperly force DPC to renegotiate the terms of the PPA in ways favourable to the MSEB, the GOM and the GOI and/or to delay or cause DPC to abandon Phase II of the Project.</w:t>
      </w:r>
    </w:p>
    <w:p>
      <w:pPr>
        <w:pStyle w:val="Normal"/>
        <w:rPr>
          <w:sz w:val="24"/>
        </w:rPr>
      </w:pPr>
      <w:r>
        <w:rPr>
          <w:sz w:val="24"/>
        </w:rPr>
      </w:r>
    </w:p>
    <w:p>
      <w:pPr>
        <w:pStyle w:val="Normal"/>
        <w:rPr>
          <w:sz w:val="24"/>
        </w:rPr>
      </w:pPr>
      <w:r>
        <w:rPr>
          <w:sz w:val="24"/>
        </w:rPr>
        <w:t>3.5</w:t>
        <w:tab/>
        <w:t xml:space="preserve">Further evidencing the intentional course of conducted directed toward DPC is the GOM’s deliberate and wilful default of its payment obligations under the GOM Guarantee and its other obligations under the State Support Agreement. Statements made by senior members of the GOM plainly demonstrate that its failure to pay was not caused by any particular act but, instead, represented a considered, tactically motivated decision upon the GOM’s part designed to put pressure upon DPC and make it amenable to renegotiation of the PPA to its disadvantage and/or to delay or cause DPC to abandon Phase II of the Project.. </w:t>
      </w:r>
    </w:p>
    <w:p>
      <w:pPr>
        <w:pStyle w:val="Normal"/>
        <w:rPr>
          <w:sz w:val="24"/>
        </w:rPr>
      </w:pPr>
      <w:r>
        <w:rPr>
          <w:sz w:val="24"/>
        </w:rPr>
      </w:r>
    </w:p>
    <w:p>
      <w:pPr>
        <w:pStyle w:val="Normal"/>
        <w:rPr>
          <w:sz w:val="24"/>
        </w:rPr>
      </w:pPr>
      <w:r>
        <w:rPr>
          <w:sz w:val="24"/>
        </w:rPr>
        <w:t>3.6</w:t>
        <w:tab/>
        <w:t>In addition to defaulting upon its obligations under the GOM Guarantee in order to bring about the improper and unlawful ends described above, the GOM has counselled or procured a breach by GOI of the GOI’s  obligations under the GOI Guarantee. The Ministry of Finance, in its letter dated 31 March 2001, in refusing to honour its obligations under the GOI Guarantee in respect of the December invoice has made it clear that it has done so because the GOM had pressed the GOI not to honour its obligations under the GOI Guarantee.</w:t>
      </w:r>
    </w:p>
    <w:p>
      <w:pPr>
        <w:pStyle w:val="Normal"/>
        <w:rPr>
          <w:sz w:val="24"/>
        </w:rPr>
      </w:pPr>
      <w:r>
        <w:rPr>
          <w:sz w:val="24"/>
        </w:rPr>
      </w:r>
    </w:p>
    <w:p>
      <w:pPr>
        <w:pStyle w:val="Normal"/>
        <w:rPr/>
      </w:pPr>
      <w:r>
        <w:rPr>
          <w:sz w:val="24"/>
        </w:rPr>
        <w:t>3.7</w:t>
        <w:tab/>
        <w:t xml:space="preserve">The change in MSEB’s compliance with its payment obligations demonstrates a deliberate strategy on MSEB’s and GOM’s part not to honour their respective obligations for the purposes and in furtherance of the policies indicated in the preceding paragraphs. In meetings held between senior MSEB and DPC officials in [November] 2000 and subsequently the following points, </w:t>
      </w:r>
      <w:r>
        <w:rPr>
          <w:i/>
          <w:iCs/>
          <w:sz w:val="24"/>
        </w:rPr>
        <w:t>inter alia</w:t>
      </w:r>
      <w:r>
        <w:rPr>
          <w:sz w:val="24"/>
        </w:rPr>
        <w:t>, were communicated to DPC:</w:t>
      </w:r>
    </w:p>
    <w:p>
      <w:pPr>
        <w:pStyle w:val="Normal"/>
        <w:rPr>
          <w:sz w:val="24"/>
        </w:rPr>
      </w:pPr>
      <w:r>
        <w:rPr>
          <w:sz w:val="24"/>
        </w:rPr>
      </w:r>
    </w:p>
    <w:p>
      <w:pPr>
        <w:pStyle w:val="Normal"/>
        <w:ind w:start="720" w:end="0"/>
        <w:rPr>
          <w:sz w:val="24"/>
        </w:rPr>
      </w:pPr>
      <w:r>
        <w:rPr>
          <w:sz w:val="24"/>
        </w:rPr>
        <w:t>(a) MSEB would be unable to pay capacity and energy charges after the entry into commercial service of Phase II;</w:t>
      </w:r>
    </w:p>
    <w:p>
      <w:pPr>
        <w:pStyle w:val="Normal"/>
        <w:ind w:start="720" w:end="0"/>
        <w:rPr>
          <w:sz w:val="24"/>
        </w:rPr>
      </w:pPr>
      <w:r>
        <w:rPr>
          <w:sz w:val="24"/>
        </w:rPr>
        <w:t>(b) upon MSEB; the decision to proceed with Phase II was made by GOM and had been forced upon MSEB;</w:t>
      </w:r>
    </w:p>
    <w:p>
      <w:pPr>
        <w:pStyle w:val="Normal"/>
        <w:rPr>
          <w:sz w:val="24"/>
        </w:rPr>
      </w:pPr>
      <w:r>
        <w:rPr>
          <w:sz w:val="24"/>
        </w:rPr>
        <w:tab/>
        <w:t>(c) DPC should look to GOM and GOI for payment.</w:t>
      </w:r>
    </w:p>
    <w:p>
      <w:pPr>
        <w:pStyle w:val="Normal"/>
        <w:rPr>
          <w:sz w:val="24"/>
        </w:rPr>
      </w:pPr>
      <w:r>
        <w:rPr>
          <w:sz w:val="24"/>
        </w:rPr>
      </w:r>
    </w:p>
    <w:p>
      <w:pPr>
        <w:pStyle w:val="Normal"/>
        <w:rPr>
          <w:sz w:val="24"/>
        </w:rPr>
      </w:pPr>
      <w:r>
        <w:rPr>
          <w:sz w:val="24"/>
        </w:rPr>
        <w:t xml:space="preserve">Since November 2000 MSEB has failed to make payment in respect of the invoice for November 2000 when that payment became due and subsequently did so only after DPC had made demand under the GOM Guarantee. MSEB deliberately failed to make payment in respect of the invoice for December 2000 despite acknowledging its obligation to make payment. Even the payment of the February 2001 invoice has been made under “protest”. It is clear that when MSEB decides either to pay or not to pay it does so upon the direct instructions or at the direction of the GOM. Similarly, the GOM has refused to make payments in respect of the GOM Guarantee as and when such payments fall due. </w:t>
      </w:r>
    </w:p>
    <w:p>
      <w:pPr>
        <w:pStyle w:val="Normal"/>
        <w:rPr>
          <w:sz w:val="24"/>
        </w:rPr>
      </w:pPr>
      <w:r>
        <w:rPr>
          <w:sz w:val="24"/>
        </w:rPr>
      </w:r>
    </w:p>
    <w:p>
      <w:pPr>
        <w:pStyle w:val="Normal"/>
        <w:rPr>
          <w:sz w:val="24"/>
        </w:rPr>
      </w:pPr>
      <w:r>
        <w:rPr>
          <w:sz w:val="24"/>
        </w:rPr>
        <w:t>3.8</w:t>
        <w:tab/>
        <w:t>In a letter dated [ ] January 2001 from MSEB to [GOM], MSEB requested “advice” from GOM on whether it should request DPC to cease the further development of Phase II. That letter plainly demonstrates that the role played by the GOM has been one of orchestrating the MSEB’s activities.</w:t>
      </w:r>
    </w:p>
    <w:p>
      <w:pPr>
        <w:pStyle w:val="Normal"/>
        <w:rPr>
          <w:sz w:val="24"/>
        </w:rPr>
      </w:pPr>
      <w:r>
        <w:rPr>
          <w:sz w:val="24"/>
        </w:rPr>
      </w:r>
    </w:p>
    <w:p>
      <w:pPr>
        <w:pStyle w:val="Normal"/>
        <w:rPr>
          <w:sz w:val="24"/>
        </w:rPr>
      </w:pPr>
      <w:r>
        <w:rPr>
          <w:sz w:val="24"/>
        </w:rPr>
        <w:t>3.9</w:t>
        <w:tab/>
        <w:t xml:space="preserve">In furtherance of the GOM policy, and at its direction, MSEB has engaged in a deliberate practice, as communicated to DPC in a meeting held between senior officials of MSEB and DPC on 30 January, of despatching the Power Station in such a way as to make compliance by DPC practically impossible thereby creating opportunities to abuse the availability provisions under the PPA. The policy and pattern of MSEB’s Despatch Instructions do not appear to be related in any way to MSEB’s actual requirements for electrical energy. On the contrary, it is evident from the timing of the Instructions that they are designed solely to produce the opportunity for MSEB to claim penalty rebates against the PPA tariff. </w:t>
      </w:r>
    </w:p>
    <w:p>
      <w:pPr>
        <w:pStyle w:val="Normal"/>
        <w:rPr>
          <w:sz w:val="24"/>
        </w:rPr>
      </w:pPr>
      <w:r>
        <w:rPr>
          <w:sz w:val="24"/>
        </w:rPr>
      </w:r>
    </w:p>
    <w:p>
      <w:pPr>
        <w:pStyle w:val="Normal"/>
        <w:rPr>
          <w:sz w:val="24"/>
        </w:rPr>
      </w:pPr>
      <w:r>
        <w:rPr>
          <w:sz w:val="24"/>
        </w:rPr>
        <w:t>3.10</w:t>
        <w:tab/>
        <w:t>Starting with an incident that occurred on 28 January 2001, there has been a pattern of despatch by MSEB which has the following distinct features:</w:t>
      </w:r>
    </w:p>
    <w:p>
      <w:pPr>
        <w:pStyle w:val="Normal"/>
        <w:rPr>
          <w:sz w:val="24"/>
        </w:rPr>
      </w:pPr>
      <w:r>
        <w:rPr>
          <w:sz w:val="24"/>
        </w:rPr>
        <w:tab/>
      </w:r>
    </w:p>
    <w:p>
      <w:pPr>
        <w:pStyle w:val="Normal"/>
        <w:ind w:start="720" w:end="0"/>
        <w:rPr>
          <w:sz w:val="24"/>
        </w:rPr>
      </w:pPr>
      <w:r>
        <w:rPr>
          <w:sz w:val="24"/>
        </w:rPr>
        <w:t>(a) it ignores a previously agreed convention regarding the procedure for dealing with Dispatch Instructions during the start up of a Generator;</w:t>
      </w:r>
    </w:p>
    <w:p>
      <w:pPr>
        <w:pStyle w:val="Normal"/>
        <w:ind w:start="720" w:end="0"/>
        <w:rPr>
          <w:sz w:val="24"/>
        </w:rPr>
      </w:pPr>
      <w:r>
        <w:rPr>
          <w:sz w:val="24"/>
        </w:rPr>
        <w:t>(b) There appears to be no commercial or technical justification for the ramp up rates required by MSEB. What is more, the Generator run-up rates requested have on a number of occasions been well in excess of the actual capability of the Power Station, a fact already known to MSEB; and (c) It is evident that MSEB’s Despatch Instructions have been carefully and deliberately tailored to exploit and abuse the availability provisions.</w:t>
      </w:r>
    </w:p>
    <w:p>
      <w:pPr>
        <w:pStyle w:val="Normal"/>
        <w:rPr>
          <w:sz w:val="24"/>
        </w:rPr>
      </w:pPr>
      <w:r>
        <w:rPr>
          <w:sz w:val="24"/>
        </w:rPr>
      </w:r>
    </w:p>
    <w:p>
      <w:pPr>
        <w:pStyle w:val="Normal"/>
        <w:rPr>
          <w:sz w:val="24"/>
        </w:rPr>
      </w:pPr>
      <w:r>
        <w:rPr>
          <w:sz w:val="24"/>
        </w:rPr>
        <w:t>3.11</w:t>
        <w:tab/>
        <w:t>By its own admission MSEB’s approach and attitude to the above issue is divorced from its operational requirements and is a transparent tactic to seek to reduce the sums payable to DPC and to force DPC into renegotiating the terms of the PPA in furtherance of the GOM’s policy. GOM has fully supported this strategy as evidenced by the letter referred to in paragraph 3.[] above.</w:t>
      </w:r>
    </w:p>
    <w:p>
      <w:pPr>
        <w:pStyle w:val="Normal"/>
        <w:rPr>
          <w:sz w:val="24"/>
        </w:rPr>
      </w:pPr>
      <w:r>
        <w:rPr>
          <w:sz w:val="24"/>
        </w:rPr>
      </w:r>
    </w:p>
    <w:p>
      <w:pPr>
        <w:pStyle w:val="BodyText"/>
        <w:rPr>
          <w:sz w:val="24"/>
        </w:rPr>
      </w:pPr>
      <w:r>
        <w:rPr>
          <w:sz w:val="24"/>
        </w:rPr>
        <w:t>3.12</w:t>
        <w:tab/>
        <w:t>GOI has taken an executive decision to withhold payment under the GOI Guarantee as reflected in its letter dated 31 March 2001. The Ministry of Finance’s argument deliberately and plainly ignores the fact that the MSEB has admitted that the amount claimed by DPC in its bill is not in dispute has also admitted that the right of set-off purported to be exercised by MSEB is expressly excluded by the terms of the PPA as well as by  the GOM Guarantee and the GOI Guarantee.</w:t>
      </w:r>
    </w:p>
    <w:p>
      <w:pPr>
        <w:pStyle w:val="Normal"/>
        <w:rPr>
          <w:sz w:val="24"/>
        </w:rPr>
      </w:pPr>
      <w:r>
        <w:rPr>
          <w:sz w:val="24"/>
        </w:rPr>
      </w:r>
    </w:p>
    <w:p>
      <w:pPr>
        <w:pStyle w:val="Normal"/>
        <w:rPr>
          <w:sz w:val="24"/>
        </w:rPr>
      </w:pPr>
      <w:r>
        <w:rPr>
          <w:sz w:val="24"/>
        </w:rPr>
        <w:t>3.13</w:t>
        <w:tab/>
        <w:t xml:space="preserve">Not only have the MSEB/GOM/GOI sought to improperly pressure the DPC through the actions and inactions described above but also, the Chief Minister of Maharashtra has made various statements demonstrating his opposition to the Project. In particular, in public meetings held on 11 March 2001, he directed the Maharashtra State Pollution Control Board to establish a task force with the sole purpose of scrutinising operations at the Dabhol plant. No other power generated was subjected to this level of scrutiny. This action was just one of many examples of the unusual and discriminatory treatment from agencies of both GOM and GOI in connection with the various consents and clearances required for the Project. </w:t>
      </w:r>
    </w:p>
    <w:p>
      <w:pPr>
        <w:pStyle w:val="Normal"/>
        <w:rPr>
          <w:sz w:val="24"/>
        </w:rPr>
      </w:pPr>
      <w:r>
        <w:rPr>
          <w:sz w:val="24"/>
        </w:rPr>
      </w:r>
    </w:p>
    <w:p>
      <w:pPr>
        <w:pStyle w:val="Normal"/>
        <w:rPr>
          <w:sz w:val="24"/>
        </w:rPr>
      </w:pPr>
      <w:r>
        <w:rPr>
          <w:sz w:val="24"/>
        </w:rPr>
        <w:t>3.14</w:t>
        <w:tab/>
        <w:t>Moreover, DPC has been subject to investigations by Competent Authorities which are far in excess of those conducted in respect of other private power stations and industrial operations in Maharashtra and other states in India. As an example, on 21 January 2001 DPC commenced testing and commissioning of the first Block of Phase II. DPC provided notice of such fact. On 9 March 2001 the MPCB served a notice prohibiting DPC from testing and commissioning the first Block of Phase II. MPCB  withheld its permission for such testing and commissioning until 4 April 2001, at which time it agreed to permit testing and commissioning. There was no legal basis for this prohibition and it conflicted with the practice established by MPCB and DPC in relation to the testing and commissioning of Phase I.</w:t>
      </w:r>
    </w:p>
    <w:p>
      <w:pPr>
        <w:pStyle w:val="Normal"/>
        <w:rPr>
          <w:sz w:val="24"/>
        </w:rPr>
      </w:pPr>
      <w:r>
        <w:rPr>
          <w:sz w:val="24"/>
        </w:rPr>
      </w:r>
    </w:p>
    <w:p>
      <w:pPr>
        <w:pStyle w:val="Normal"/>
        <w:rPr>
          <w:sz w:val="24"/>
        </w:rPr>
      </w:pPr>
      <w:r>
        <w:rPr>
          <w:sz w:val="24"/>
        </w:rPr>
        <w:t>It is clear that the concerted, deliberate and politically motivated actions of GOM, GOI and MSEB, in particular since November 2000, in respect of their respective contractual obligations, have resulted  or have the potential to result in a material and adverse effect upon DPC. Already the cumulative effect of these actions has caused the Project’s lenders to cease further funding of the construction costs of Phase II. Such actions have also caused prejudice to DPC’s obligations to meet its commitments in respect of the operation of Phase I.</w:t>
      </w:r>
    </w:p>
    <w:p>
      <w:pPr>
        <w:pStyle w:val="Normal"/>
        <w:rPr>
          <w:sz w:val="24"/>
        </w:rPr>
      </w:pPr>
      <w:r>
        <w:rPr>
          <w:sz w:val="24"/>
        </w:rPr>
      </w:r>
    </w:p>
    <w:p>
      <w:pPr>
        <w:pStyle w:val="Normal"/>
        <w:rPr>
          <w:sz w:val="24"/>
        </w:rPr>
      </w:pPr>
      <w:r>
        <w:rPr>
          <w:sz w:val="24"/>
        </w:rPr>
        <w:t xml:space="preserve">We thereby give you notice that events or circumstances exist which have had or are likely to have a material and adverse effect on DPC’s ability to perform some or all of its obligations under the PPA. We further notify you that such events or circumstances constitute events and circumstances of Political Force Majeure. </w:t>
      </w:r>
    </w:p>
    <w:p>
      <w:pPr>
        <w:pStyle w:val="Normal"/>
        <w:rPr>
          <w:sz w:val="24"/>
        </w:rPr>
      </w:pPr>
      <w:r>
        <w:rPr>
          <w:sz w:val="24"/>
        </w:rPr>
      </w:r>
    </w:p>
    <w:p>
      <w:pPr>
        <w:pStyle w:val="Normal"/>
        <w:rPr>
          <w:sz w:val="24"/>
        </w:rPr>
      </w:pPr>
      <w:r>
        <w:rPr>
          <w:sz w:val="24"/>
        </w:rPr>
        <w:t>Please note that we reserve our rights to claim relief in respect of these Political Force Majeure events as permitted under Clause 16.3(a)(ii) of the PPA.</w:t>
      </w:r>
    </w:p>
    <w:p>
      <w:pPr>
        <w:pStyle w:val="Normal"/>
        <w:rPr>
          <w:sz w:val="24"/>
        </w:rPr>
      </w:pPr>
      <w:r>
        <w:rPr>
          <w:sz w:val="24"/>
        </w:rPr>
      </w:r>
    </w:p>
    <w:p>
      <w:pPr>
        <w:pStyle w:val="Normal"/>
        <w:rPr>
          <w:sz w:val="24"/>
        </w:rPr>
      </w:pPr>
      <w:r>
        <w:rPr>
          <w:sz w:val="24"/>
        </w:rPr>
        <w:t>Yours faithfully,</w:t>
      </w:r>
    </w:p>
    <w:p>
      <w:pPr>
        <w:pStyle w:val="Normal"/>
        <w:rPr>
          <w:sz w:val="24"/>
        </w:rPr>
      </w:pPr>
      <w:r>
        <w:rPr>
          <w:sz w:val="24"/>
        </w:rPr>
      </w:r>
    </w:p>
    <w:p>
      <w:pPr>
        <w:pStyle w:val="Normal"/>
        <w:rPr>
          <w:sz w:val="24"/>
        </w:rPr>
      </w:pPr>
      <w:r>
        <w:rPr>
          <w:sz w:val="24"/>
        </w:rPr>
      </w:r>
    </w:p>
    <w:p>
      <w:pPr>
        <w:pStyle w:val="Normal"/>
        <w:rPr>
          <w:sz w:val="24"/>
        </w:rPr>
      </w:pPr>
      <w:r>
        <w:rPr>
          <w:sz w:val="24"/>
        </w:rPr>
        <w:t>for and on behalf of Dabhol Power Company</w:t>
      </w:r>
    </w:p>
    <w:p>
      <w:pPr>
        <w:pStyle w:val="Normal"/>
        <w:rPr>
          <w:sz w:val="24"/>
        </w:rPr>
      </w:pPr>
      <w:r>
        <w:rPr>
          <w:sz w:val="24"/>
        </w:rPr>
      </w:r>
    </w:p>
    <w:p>
      <w:pPr>
        <w:pStyle w:val="Normal"/>
        <w:rPr>
          <w:sz w:val="24"/>
        </w:rPr>
      </w:pPr>
      <w:r>
        <w:rPr>
          <w:sz w:val="24"/>
        </w:rPr>
      </w:r>
    </w:p>
    <w:p>
      <w:pPr>
        <w:pStyle w:val="Normal"/>
        <w:rPr>
          <w:sz w:val="24"/>
        </w:rPr>
      </w:pPr>
      <w:r>
        <w:rPr>
          <w:sz w:val="24"/>
        </w:rPr>
        <w:t>cc: The Technical Member MSEB</w:t>
      </w:r>
    </w:p>
    <w:p>
      <w:pPr>
        <w:pStyle w:val="Normal"/>
        <w:rPr>
          <w:sz w:val="24"/>
        </w:rPr>
      </w:pPr>
      <w:r>
        <w:rPr>
          <w:sz w:val="24"/>
        </w:rPr>
      </w:r>
    </w:p>
    <w:sectPr>
      <w:headerReference w:type="default" r:id="rId2"/>
      <w:headerReference w:type="first" r:id="rId3"/>
      <w:type w:val="nextPage"/>
      <w:pgSz w:w="11906" w:h="16838"/>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The Chairman MSEB</w:t>
    </w:r>
  </w:p>
  <w:p>
    <w:pPr>
      <w:pStyle w:val="Header"/>
      <w:rPr>
        <w:sz w:val="24"/>
      </w:rPr>
    </w:pPr>
    <w:r>
      <w:rPr>
        <w:sz w:val="24"/>
      </w:rPr>
      <w:t>April 7, 2001</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p>
    <w:pPr>
      <w:pStyle w:val="Header"/>
      <w:rPr>
        <w:rStyle w:val="PageNumber"/>
        <w:sz w:val="24"/>
      </w:rPr>
    </w:pPr>
    <w:r>
      <w:rPr/>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140"/>
        </w:tabs>
        <w:ind w:start="114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2001-04-06T11:18:00Z</dcterms:created>
  <dc:creator>Linklaters</dc:creator>
  <dc:description/>
  <dc:language>en-CA</dc:language>
  <cp:lastModifiedBy>Wendi Hoelscher</cp:lastModifiedBy>
  <cp:lastPrinted>2001-04-06T08:42:00Z</cp:lastPrinted>
  <dcterms:modified xsi:type="dcterms:W3CDTF">2001-04-06T11:22:00Z</dcterms:modified>
  <cp:revision>3</cp:revision>
  <dc:subject/>
  <dc:title>DRAFT NOTICE </dc:title>
</cp:coreProperties>
</file>