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Who’s Enron?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Develops and operates networks—energy &amp; communications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Combine physical assets/contracts to make markets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Neither net generator nor net consumer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Make markets in order to serve consumers and producers alike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One overriding objective:  make markets that work for everyone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Price-spike Drivers:  Market Fundamentals and California’s Market Structure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Demand in California and throughout the West has exceeded expectations</w:t>
      </w:r>
    </w:p>
    <w:p>
      <w:pPr>
        <w:pStyle w:val="Normal"/>
        <w:numPr>
          <w:ilvl w:val="1"/>
          <w:numId w:val="4"/>
        </w:numPr>
        <w:rPr>
          <w:sz w:val="22"/>
        </w:rPr>
      </w:pPr>
      <w:r>
        <w:rPr>
          <w:sz w:val="22"/>
        </w:rPr>
        <w:t>Economic growth</w:t>
      </w:r>
    </w:p>
    <w:p>
      <w:pPr>
        <w:pStyle w:val="Normal"/>
        <w:numPr>
          <w:ilvl w:val="1"/>
          <w:numId w:val="4"/>
        </w:numPr>
        <w:rPr>
          <w:sz w:val="22"/>
        </w:rPr>
      </w:pPr>
      <w:r>
        <w:rPr>
          <w:sz w:val="22"/>
        </w:rPr>
        <w:t>Above-average temperatures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California competes with the rest of the West for electricity services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Capacity additions have not kept pace with demand—siting/interconnection policies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Gas prices have risen 200-300%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Hydro production is substantially below last year’s levels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Result:  more high cost generation on the margin more of the time</w:t>
      </w:r>
    </w:p>
    <w:p>
      <w:pPr>
        <w:pStyle w:val="Normal"/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California’s Approach to Restructuring Made California Vulnerable to Changes in Market Fundamentals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Creating retail markets simply wasn’t a priority—result: no incentive to switch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Moreover, customers discouraged from switching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Customers constrained from responding to prices—tariffs/CTC recovery mechanism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Utilities required to maintain short position (variable rate mortgage)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Utilities constrained from hedging their short position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2"/>
        </w:rPr>
      </w:pPr>
      <w:r>
        <w:rPr>
          <w:sz w:val="22"/>
        </w:rPr>
        <w:t>When constraints relaxed, utilities hesitant to hedge (despite numerous offers)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b/>
          <w:bCs/>
          <w:sz w:val="20"/>
        </w:rPr>
      </w:pPr>
      <w:r>
        <w:rPr>
          <w:sz w:val="22"/>
        </w:rPr>
        <w:t xml:space="preserve">Mechanism used to recover stranded costs gives utilities incentive to underschedule—it’s a reliability-threatening incentive </w:t>
      </w:r>
    </w:p>
    <w:p>
      <w:pPr>
        <w:pStyle w:val="Normal"/>
        <w:ind w:start="72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Absent State and Federal Action, California’s Situation Will Not Improve:  Precursor for the Nation?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Solutions are evident and straightforward to implement—time to fix problem/use a scalpel, not a chainsaw</w:t>
      </w:r>
    </w:p>
    <w:p>
      <w:pPr>
        <w:pStyle w:val="Normal"/>
        <w:numPr>
          <w:ilvl w:val="0"/>
          <w:numId w:val="8"/>
        </w:numPr>
        <w:rPr>
          <w:b/>
          <w:bCs/>
          <w:sz w:val="22"/>
        </w:rPr>
      </w:pPr>
      <w:r>
        <w:rPr>
          <w:sz w:val="22"/>
        </w:rPr>
        <w:t>Sense of urgency to apply retail price caps is understandable</w:t>
      </w:r>
    </w:p>
    <w:p>
      <w:pPr>
        <w:pStyle w:val="Normal"/>
        <w:numPr>
          <w:ilvl w:val="0"/>
          <w:numId w:val="8"/>
        </w:numPr>
        <w:rPr>
          <w:b/>
          <w:bCs/>
          <w:sz w:val="22"/>
        </w:rPr>
      </w:pPr>
      <w:r>
        <w:rPr>
          <w:sz w:val="22"/>
        </w:rPr>
        <w:t>But price caps will make matters worse in the long run</w:t>
      </w:r>
    </w:p>
    <w:p>
      <w:pPr>
        <w:pStyle w:val="Normal"/>
        <w:numPr>
          <w:ilvl w:val="1"/>
          <w:numId w:val="5"/>
        </w:numPr>
        <w:rPr>
          <w:b/>
          <w:bCs/>
          <w:sz w:val="22"/>
        </w:rPr>
      </w:pPr>
      <w:r>
        <w:rPr>
          <w:b/>
          <w:bCs/>
          <w:i/>
          <w:iCs/>
          <w:sz w:val="22"/>
        </w:rPr>
        <w:t>Retail caps</w:t>
      </w:r>
      <w:r>
        <w:rPr>
          <w:sz w:val="22"/>
        </w:rPr>
        <w:t>—lack of price response will keep CA’s energy bill high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b/>
          <w:bCs/>
          <w:i/>
          <w:iCs/>
          <w:sz w:val="22"/>
        </w:rPr>
        <w:t>Wholesale caps</w:t>
      </w:r>
      <w:r>
        <w:rPr>
          <w:sz w:val="22"/>
        </w:rPr>
        <w:t>—price controls and price uncertainty deter plant development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Reform is necessary for supply to keep pace with demand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b/>
          <w:bCs/>
          <w:i/>
          <w:iCs/>
          <w:sz w:val="22"/>
        </w:rPr>
        <w:t>State</w:t>
      </w:r>
      <w:r>
        <w:rPr>
          <w:sz w:val="22"/>
        </w:rPr>
        <w:t>: Siting requirements must be overhauled—need real one-stop shopping</w:t>
      </w:r>
    </w:p>
    <w:p>
      <w:pPr>
        <w:pStyle w:val="Normal"/>
        <w:numPr>
          <w:ilvl w:val="1"/>
          <w:numId w:val="5"/>
        </w:numPr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  <w:t>Federal</w:t>
      </w:r>
    </w:p>
    <w:p>
      <w:pPr>
        <w:pStyle w:val="Normal"/>
        <w:numPr>
          <w:ilvl w:val="2"/>
          <w:numId w:val="11"/>
        </w:numPr>
        <w:rPr>
          <w:sz w:val="22"/>
        </w:rPr>
      </w:pPr>
      <w:r>
        <w:rPr>
          <w:sz w:val="22"/>
        </w:rPr>
        <w:t>Interconnection reform—utility control simply doesn’t work</w:t>
      </w:r>
    </w:p>
    <w:p>
      <w:pPr>
        <w:pStyle w:val="Normal"/>
        <w:numPr>
          <w:ilvl w:val="2"/>
          <w:numId w:val="11"/>
        </w:numPr>
        <w:rPr>
          <w:sz w:val="22"/>
        </w:rPr>
      </w:pPr>
      <w:r>
        <w:rPr>
          <w:sz w:val="22"/>
        </w:rPr>
        <w:t>All transmission into, out of, and inside the state must be available on a nondiscriminatory basis (read “native load”)</w:t>
      </w:r>
    </w:p>
    <w:p>
      <w:pPr>
        <w:pStyle w:val="Normal"/>
        <w:numPr>
          <w:ilvl w:val="1"/>
          <w:numId w:val="9"/>
        </w:numPr>
        <w:tabs>
          <w:tab w:val="clear" w:pos="720"/>
        </w:tabs>
        <w:ind w:hanging="360" w:start="1080" w:end="0"/>
        <w:rPr>
          <w:sz w:val="22"/>
        </w:rPr>
      </w:pPr>
      <w:r>
        <w:rPr>
          <w:sz w:val="22"/>
        </w:rPr>
        <w:t>Require ISO/PX to make more information available sooner—more information equals more solutions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Wholesale markets won’t work without choice and competition in retail markets</w:t>
      </w:r>
    </w:p>
    <w:p>
      <w:pPr>
        <w:pStyle w:val="Normal"/>
        <w:numPr>
          <w:ilvl w:val="1"/>
          <w:numId w:val="10"/>
        </w:numPr>
        <w:rPr>
          <w:sz w:val="22"/>
        </w:rPr>
      </w:pPr>
      <w:r>
        <w:rPr>
          <w:sz w:val="22"/>
        </w:rPr>
        <w:t>Customers should choose a competing service provider (S.D. experience has prompted more customers to consider their choices)</w:t>
      </w:r>
    </w:p>
    <w:p>
      <w:pPr>
        <w:pStyle w:val="Normal"/>
        <w:numPr>
          <w:ilvl w:val="1"/>
          <w:numId w:val="7"/>
        </w:numPr>
        <w:rPr>
          <w:b/>
          <w:bCs/>
          <w:sz w:val="20"/>
        </w:rPr>
      </w:pPr>
      <w:r>
        <w:rPr>
          <w:sz w:val="22"/>
        </w:rPr>
        <w:t>The CA ISO correctly concluded that utilities should become pure “wires” companies in order to create real retail markets in California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color w:val="00000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WW8Num1z2">
    <w:name w:val="WW8Num1z2"/>
    <w:qFormat/>
    <w:rPr>
      <w:rFonts w:ascii="Symbol" w:hAnsi="Symbol" w:cs="Symbol"/>
      <w:color w:val="000000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Wingdings" w:hAnsi="Wingdings" w:cs="Wingdings"/>
    </w:rPr>
  </w:style>
  <w:style w:type="character" w:styleId="WW8Num5z2">
    <w:name w:val="WW8Num5z2"/>
    <w:qFormat/>
    <w:rPr>
      <w:rFonts w:ascii="Wingdings" w:hAnsi="Wingdings" w:cs="Wingdings"/>
      <w:sz w:val="16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Wingdings" w:hAnsi="Wingdings" w:cs="Wingdings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00000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Wingdings" w:hAnsi="Wingdings" w:cs="Wingdings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Symbol" w:hAnsi="Symbol" w:cs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Symbol" w:hAnsi="Symbol" w:cs="Symbol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color w:val="000000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Wingdings" w:hAnsi="Wingdings" w:cs="Wingdings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Wingdings" w:hAnsi="Wingdings" w:cs="Wingdings"/>
    </w:rPr>
  </w:style>
  <w:style w:type="character" w:styleId="WW8Num20z2">
    <w:name w:val="WW8Num20z2"/>
    <w:qFormat/>
    <w:rPr>
      <w:rFonts w:ascii="Wingdings" w:hAnsi="Wingdings" w:cs="Wingdings"/>
      <w:sz w:val="16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Wingdings" w:hAnsi="Wingdings" w:cs="Wingdings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2000-09-07T22:42:00Z</dcterms:created>
  <dc:creator>jdasovic</dc:creator>
  <dc:description/>
  <dc:language>en-CA</dc:language>
  <cp:lastModifiedBy>jdasovic</cp:lastModifiedBy>
  <cp:lastPrinted>2000-09-08T12:43:00Z</cp:lastPrinted>
  <dcterms:modified xsi:type="dcterms:W3CDTF">2000-09-08T16:10:00Z</dcterms:modified>
  <cp:revision>14</cp:revision>
  <dc:subject/>
  <dc:title>Ø</dc:title>
</cp:coreProperties>
</file>