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lang w:val="en-CA"/>
        </w:rPr>
      </w:pPr>
      <w:r>
        <w:rPr>
          <w:lang w:val="en-CA"/>
        </w:rPr>
        <w:drawing>
          <wp:anchor behindDoc="0" distT="0" distB="0" distL="114935" distR="114935" simplePos="0" locked="0" layoutInCell="1" allowOverlap="1" relativeHeight="20">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Normal"/>
        <w:jc w:val="center"/>
        <w:rPr>
          <w:rFonts w:ascii="Arial Narrow" w:hAnsi="Arial Narrow" w:cs="Arial Narrow"/>
          <w:b/>
          <w:sz w:val="20"/>
        </w:rPr>
      </w:pPr>
      <w:r>
        <w:rPr>
          <w:rFonts w:cs="Arial Narrow" w:ascii="Arial Narrow" w:hAnsi="Arial Narrow"/>
          <w:b/>
          <w:sz w:val="20"/>
        </w:rPr>
        <w:t>DRAFT</w:t>
      </w:r>
    </w:p>
    <w:p>
      <w:pPr>
        <w:pStyle w:val="Normal"/>
        <w:jc w:val="center"/>
        <w:rPr>
          <w:rFonts w:ascii="Arial Narrow" w:hAnsi="Arial Narrow" w:cs="Arial Narrow"/>
          <w:sz w:val="20"/>
        </w:rPr>
      </w:pPr>
      <w:r>
        <w:rPr>
          <w:rFonts w:cs="Arial Narrow" w:ascii="Arial Narrow" w:hAnsi="Arial Narrow"/>
          <w:sz w:val="20"/>
        </w:rPr>
        <w:t>Confirmation</w:t>
      </w:r>
    </w:p>
    <w:p>
      <w:pPr>
        <w:pStyle w:val="Normal"/>
        <w:jc w:val="center"/>
        <w:rPr>
          <w:rFonts w:ascii="Arial Narrow" w:hAnsi="Arial Narrow" w:cs="Arial Narrow"/>
          <w:sz w:val="20"/>
        </w:rPr>
      </w:pPr>
      <w:r>
        <w:rPr>
          <w:rFonts w:cs="Arial Narrow" w:ascii="Arial Narrow" w:hAnsi="Arial Narrow"/>
          <w:sz w:val="20"/>
        </w:rPr>
        <w:t>(Bandwidth Purchase)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Level 3 Communications, Inc.</w:t>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rFonts w:ascii="Arial Narrow" w:hAnsi="Arial Narrow" w:cs="Arial Narrow"/>
          <w:sz w:val="20"/>
        </w:rPr>
      </w:pPr>
      <w:r>
        <w:rPr>
          <w:rFonts w:cs="Arial Narrow" w:ascii="Arial Narrow" w:hAnsi="Arial Narrow"/>
          <w:sz w:val="20"/>
        </w:rPr>
        <w:t>This confirmation (this “Confirmation”) evidences a complete and binding agreement between Enron Broadband Services, L.P. (“EBS” or “Buyer”) and Level 3 Communications, Inc. (“Level 3” or “Seller”) (collectively, the “Parties”) as to the terms of the transaction to which this Confirmation relates.  This Confirmation, together with all other documents executed in connection with the transaction referred to below (the “Transaction”) entered into between Seller and Buyer shall supplement, form a part of, and be subject to the General Terms and Conditions attached hereto as Annex B (the “GTCs”).  In the event of any inconsistency between the provisions of the GTCs and this Confirmation, this Confirmation will prevail for the purpose of this Transaction.  The terms of the Transaction to which this Confirmation relates are as follows:</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08/31/00</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12 Months</w:t>
      </w:r>
    </w:p>
    <w:p>
      <w:pPr>
        <w:pStyle w:val="Normal"/>
        <w:numPr>
          <w:ilvl w:val="0"/>
          <w:numId w:val="0"/>
        </w:numPr>
        <w:tabs>
          <w:tab w:val="clear" w:pos="720"/>
          <w:tab w:val="left" w:pos="3060" w:leader="none"/>
        </w:tabs>
        <w:ind w:start="3060" w:end="0"/>
        <w:jc w:val="both"/>
        <w:outlineLvl w:val="0"/>
        <w:rPr>
          <w:rFonts w:ascii="Arial Narrow" w:hAnsi="Arial Narrow" w:cs="Arial Narrow"/>
          <w:sz w:val="20"/>
        </w:rPr>
      </w:pPr>
      <w:r>
        <w:rPr>
          <w:rFonts w:cs="Arial Narrow" w:ascii="Arial Narrow" w:hAnsi="Arial Narrow"/>
          <w:sz w:val="20"/>
        </w:rPr>
        <w:t xml:space="preserve">Commencing 12:00:00 a.m. (midnight) EST on October 01, 2000 (the “Commencement Date”) and Terminating 11:59:59 p.m. EST on </w:t>
      </w:r>
    </w:p>
    <w:p>
      <w:pPr>
        <w:pStyle w:val="Normal"/>
        <w:numPr>
          <w:ilvl w:val="0"/>
          <w:numId w:val="0"/>
        </w:numPr>
        <w:tabs>
          <w:tab w:val="clear" w:pos="720"/>
          <w:tab w:val="left" w:pos="3060" w:leader="none"/>
        </w:tabs>
        <w:ind w:start="3060" w:end="0"/>
        <w:jc w:val="both"/>
        <w:outlineLvl w:val="0"/>
        <w:rPr>
          <w:rFonts w:ascii="Arial Narrow" w:hAnsi="Arial Narrow" w:cs="Arial Narrow"/>
          <w:sz w:val="20"/>
        </w:rPr>
      </w:pPr>
      <w:r>
        <w:rPr>
          <w:rFonts w:cs="Arial Narrow" w:ascii="Arial Narrow" w:hAnsi="Arial Narrow"/>
          <w:sz w:val="20"/>
        </w:rPr>
        <w:t>September 30, 2001</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A Location (Pooling Point)</w:t>
      </w:r>
      <w:r>
        <w:rPr>
          <w:rFonts w:cs="Arial Narrow" w:ascii="Arial Narrow" w:hAnsi="Arial Narrow"/>
          <w:sz w:val="20"/>
        </w:rPr>
        <w:t>: SNDACAGLH08</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 xml:space="preserve">Floor/Suite: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 xml:space="preserve">Address: 8929 Aero Drive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  San Diego</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  CA</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r>
        <w:rPr>
          <w:rFonts w:cs="Arial Narrow" w:ascii="Arial Narrow" w:hAnsi="Arial Narrow"/>
          <w:sz w:val="20"/>
        </w:rPr>
        <w:t>92123</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  858/565</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pPr>
      <w:r>
        <w:rPr>
          <w:rFonts w:cs="Arial Narrow" w:ascii="Arial Narrow" w:hAnsi="Arial Narrow"/>
          <w:b/>
          <w:sz w:val="20"/>
        </w:rPr>
        <w:tab/>
        <w:tab/>
        <w:tab/>
        <w:t xml:space="preserve">     </w:t>
        <w:tab/>
        <w:tab/>
        <w:t xml:space="preserve">Z Location (Pooling Point):  </w:t>
      </w:r>
      <w:r>
        <w:rPr>
          <w:rFonts w:cs="Arial Narrow" w:ascii="Arial Narrow" w:hAnsi="Arial Narrow"/>
          <w:sz w:val="20"/>
        </w:rPr>
        <w:t>SNDKCAARH01</w:t>
      </w:r>
    </w:p>
    <w:p>
      <w:pPr>
        <w:pStyle w:val="MessageHeader"/>
        <w:pBdr>
          <w:top w:val="nil"/>
          <w:left w:val="nil"/>
          <w:bottom w:val="nil"/>
          <w:right w:val="nil"/>
        </w:pBdr>
        <w:shd w:fill="auto" w:val="clear"/>
        <w:ind w:hanging="0" w:end="0"/>
        <w:rPr>
          <w:rFonts w:ascii="Arial Narrow" w:hAnsi="Arial Narrow" w:cs="Arial Narrow"/>
          <w:sz w:val="20"/>
        </w:rPr>
      </w:pPr>
      <w:r>
        <w:rPr>
          <w:rFonts w:cs="Arial Narrow" w:ascii="Arial Narrow" w:hAnsi="Arial Narrow"/>
          <w:sz w:val="20"/>
        </w:rPr>
        <w:tab/>
        <w:tab/>
        <w:tab/>
        <w:tab/>
        <w:t xml:space="preserve">Floor/Suite: </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Address: 9530 Town Centre Drive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  San Diego</w:t>
        <w:tab/>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  CA</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 92122</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  858/535</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1</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Unit Price:</w:t>
        <w:tab/>
      </w:r>
      <w:r>
        <w:rPr>
          <w:rFonts w:cs="Arial Narrow" w:ascii="Arial Narrow" w:hAnsi="Arial Narrow"/>
          <w:sz w:val="20"/>
        </w:rPr>
        <w:t xml:space="preserve">US$ 3337.00 per Month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US$ 3337.00 per Month</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QoS (Quality of Service):</w:t>
      </w:r>
      <w:r>
        <w:rPr>
          <w:rFonts w:cs="Arial Narrow" w:ascii="Arial Narrow" w:hAnsi="Arial Narrow"/>
          <w:color w:val="FF0000"/>
        </w:rPr>
        <w:t xml:space="preserve">     </w:t>
      </w:r>
      <w:r>
        <w:rPr>
          <w:rFonts w:cs="Arial Narrow" w:ascii="Arial Narrow" w:hAnsi="Arial Narrow"/>
          <w:b w:val="false"/>
        </w:rPr>
        <w:t>Not Applicable.</w:t>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tab/>
      </w:r>
      <w:r>
        <w:rPr>
          <w:rFonts w:cs="Arial Narrow" w:ascii="Arial Narrow" w:hAnsi="Arial Narrow"/>
          <w:sz w:val="20"/>
        </w:rPr>
        <w:t>Promptly after the Trade Date, and in any event, at least 30 Business Days prior to the commencement date of the Term, the Parties agree to exchange and provide the Demarcation Point and any other information required (including all other operational data that may be required) to schedule and test the Bandwidth Unit(s). Seller shall provide such Demarcation Point and other information to Buyer in advance of Buyer providing such information to Seller.</w:t>
      </w:r>
    </w:p>
    <w:p>
      <w:pPr>
        <w:pStyle w:val="Normal"/>
        <w:ind w:hanging="2160" w:start="2160" w:end="0"/>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GTCs</w:t>
      </w:r>
    </w:p>
    <w:p>
      <w:pPr>
        <w:pStyle w:val="Normal"/>
        <w:jc w:val="both"/>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Additional Provisions:</w:t>
        <w:tab/>
      </w:r>
      <w:r>
        <w:rPr>
          <w:rFonts w:cs="Arial Narrow" w:ascii="Arial Narrow" w:hAnsi="Arial Narrow"/>
          <w:sz w:val="20"/>
        </w:rPr>
        <w:t>Buyer shall pay Seller a non-recurring charge of US$ 500.00 on the first Payment Date.</w:t>
      </w:r>
    </w:p>
    <w:p>
      <w:pPr>
        <w:pStyle w:val="BodyTextIndent"/>
        <w:ind w:hanging="0" w:start="2160" w:end="0"/>
        <w:rPr>
          <w:rFonts w:ascii="Arial Narrow" w:hAnsi="Arial Narrow" w:cs="Arial Narrow"/>
          <w:sz w:val="20"/>
        </w:rPr>
      </w:pPr>
      <w:r>
        <w:rPr>
          <w:rFonts w:cs="Arial Narrow" w:ascii="Arial Narrow" w:hAnsi="Arial Narrow"/>
          <w:sz w:val="20"/>
        </w:rPr>
      </w:r>
    </w:p>
    <w:p>
      <w:pPr>
        <w:pStyle w:val="BodyTextIndent"/>
        <w:ind w:hanging="0" w:start="2160" w:end="0"/>
        <w:rPr/>
      </w:pPr>
      <w:r>
        <w:rPr>
          <w:rFonts w:cs="Arial Narrow" w:ascii="Arial Narrow" w:hAnsi="Arial Narrow"/>
          <w:sz w:val="20"/>
        </w:rPr>
        <w:t>Section 3.3(a)(i)(B) shall be amended to read as follows “(B) the Contract Price, to the extent that Buyer had paid the Contract Price.” and b) Section 3.3(a)(i) shall not apply  until the 30</w:t>
      </w:r>
      <w:r>
        <w:rPr>
          <w:rFonts w:cs="Arial Narrow" w:ascii="Arial Narrow" w:hAnsi="Arial Narrow"/>
          <w:sz w:val="20"/>
          <w:vertAlign w:val="superscript"/>
        </w:rPr>
        <w:t>th</w:t>
      </w:r>
      <w:r>
        <w:rPr>
          <w:rFonts w:cs="Arial Narrow" w:ascii="Arial Narrow" w:hAnsi="Arial Narrow"/>
          <w:sz w:val="20"/>
        </w:rPr>
        <w:t xml:space="preserve"> day after the Commencement Date.</w:t>
      </w:r>
    </w:p>
    <w:p>
      <w:pPr>
        <w:pStyle w:val="BodyTextIndent"/>
        <w:ind w:hanging="0" w:start="0" w:end="0"/>
        <w:rPr>
          <w:rFonts w:ascii="Arial Narrow" w:hAnsi="Arial Narrow" w:cs="Arial Narrow"/>
          <w:sz w:val="20"/>
        </w:rPr>
      </w:pPr>
      <w:r>
        <w:rPr>
          <w:rFonts w:cs="Arial Narrow" w:ascii="Arial Narrow" w:hAnsi="Arial Narrow"/>
          <w:sz w:val="20"/>
        </w:rPr>
        <w:tab/>
        <w:tab/>
        <w:tab/>
      </w:r>
    </w:p>
    <w:p>
      <w:pPr>
        <w:pStyle w:val="BodyTextIndent"/>
        <w:ind w:hanging="0" w:start="0" w:end="0"/>
        <w:rPr>
          <w:rFonts w:ascii="Arial Narrow" w:hAnsi="Arial Narrow" w:cs="Arial Narrow"/>
          <w:sz w:val="20"/>
        </w:rPr>
      </w:pPr>
      <w:r>
        <w:rPr>
          <w:rFonts w:cs="Arial Narrow" w:ascii="Arial Narrow" w:hAnsi="Arial Narrow"/>
          <w:sz w:val="20"/>
        </w:rPr>
        <w:t>Please confirm that the foregoing correctly reflects the agreement between Company and Counterparty as to this Transaction by returning an executed copy of this Confirmation by facsimile to Company at the Company’s fax number specified below for Confirmations. This Confirmation supersedes any broker confirmation concerning this Transaction.</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Level 3 Communications, Inc.</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b/>
          <w:u w:val="single"/>
        </w:rPr>
      </w:pPr>
      <w:r>
        <w:rPr>
          <w:b/>
          <w:u w:val="single"/>
        </w:rPr>
        <w:t>Technical Contacts:</w:t>
      </w:r>
    </w:p>
    <w:p>
      <w:pPr>
        <w:pStyle w:val="BodyText2"/>
        <w:rPr>
          <w:b/>
          <w:u w:val="single"/>
        </w:rPr>
      </w:pPr>
      <w:r>
        <w:rPr>
          <w:b/>
          <w:u w:val="single"/>
        </w:rPr>
      </w:r>
    </w:p>
    <w:p>
      <w:pPr>
        <w:pStyle w:val="BodyText2"/>
        <w:rPr>
          <w:b/>
        </w:rPr>
      </w:pPr>
      <w:r>
        <w:rPr>
          <w:b/>
        </w:rPr>
        <w:t>Buyer:</w:t>
        <w:tab/>
        <w:tab/>
        <w:tab/>
        <w:tab/>
        <w:tab/>
        <w:tab/>
        <w:t>Seller:</w:t>
      </w:r>
    </w:p>
    <w:p>
      <w:pPr>
        <w:pStyle w:val="BodyText2"/>
        <w:rPr/>
      </w:pPr>
      <w:r>
        <w:rPr/>
        <w:t>Full Name:</w:t>
        <w:tab/>
        <w:tab/>
        <w:tab/>
        <w:tab/>
        <w:tab/>
        <w:t>Full Name:</w:t>
      </w:r>
    </w:p>
    <w:p>
      <w:pPr>
        <w:pStyle w:val="BodyText2"/>
        <w:rPr/>
      </w:pPr>
      <w:r>
        <w:rPr/>
        <w:t>Phone No.:</w:t>
        <w:tab/>
        <w:tab/>
        <w:tab/>
        <w:tab/>
        <w:tab/>
        <w:t>Phone No.:</w:t>
      </w:r>
    </w:p>
    <w:p>
      <w:pPr>
        <w:pStyle w:val="BodyText2"/>
        <w:rPr/>
      </w:pPr>
      <w:r>
        <w:rPr/>
        <w:t>Fax No.:</w:t>
        <w:tab/>
        <w:tab/>
        <w:tab/>
        <w:tab/>
        <w:tab/>
        <w:tab/>
        <w:t>Fax No.:</w:t>
      </w:r>
    </w:p>
    <w:p>
      <w:pPr>
        <w:pStyle w:val="BodyText2"/>
        <w:rPr/>
      </w:pPr>
      <w:r>
        <w:rPr/>
        <w:t>Pager:</w:t>
        <w:tab/>
        <w:tab/>
        <w:tab/>
        <w:tab/>
        <w:tab/>
        <w:tab/>
        <w:t>Pager:</w:t>
      </w:r>
    </w:p>
    <w:p>
      <w:pPr>
        <w:pStyle w:val="BodyText2"/>
        <w:rPr/>
      </w:pPr>
      <w:r>
        <w:rPr/>
        <w:t>Cellular (Optional):</w:t>
        <w:tab/>
        <w:tab/>
        <w:tab/>
        <w:tab/>
        <w:tab/>
        <w:t>Cellular (Optional):</w:t>
      </w:r>
    </w:p>
    <w:p>
      <w:pPr>
        <w:pStyle w:val="Title"/>
        <w:jc w:val="start"/>
        <w:rPr/>
      </w:pPr>
      <w:r>
        <w:rPr/>
        <w:t>Email Address:</w:t>
        <w:tab/>
        <w:tab/>
        <w:tab/>
        <w:tab/>
        <w:tab/>
        <w:t>Email Address</w:t>
      </w:r>
      <w:r>
        <w:br w:type="page"/>
      </w:r>
    </w:p>
    <w:p>
      <w:pPr>
        <w:pStyle w:val="BodyText"/>
        <w:rPr>
          <w:rFonts w:ascii="Arial Narrow" w:hAnsi="Arial Narrow" w:cs="Arial Narrow"/>
          <w:sz w:val="20"/>
        </w:rPr>
      </w:pPr>
      <w:r>
        <w:rPr>
          <w:rFonts w:eastAsia="Arial"/>
          <w:b/>
        </w:rPr>
        <w:t xml:space="preserve"> </w:t>
      </w:r>
    </w:p>
    <w:p>
      <w:pPr>
        <w:pStyle w:val="Title"/>
        <w:rPr>
          <w:sz w:val="20"/>
        </w:rPr>
      </w:pPr>
      <w:r>
        <w:rPr/>
        <w:t>ANNEX B</w:t>
      </w:r>
    </w:p>
    <w:p>
      <w:pPr>
        <w:pStyle w:val="Title"/>
        <w:rPr>
          <w:sz w:val="20"/>
        </w:rPr>
      </w:pPr>
      <w:r>
        <w:rPr>
          <w:sz w:val="20"/>
        </w:rPr>
      </w:r>
    </w:p>
    <w:p>
      <w:pPr>
        <w:pStyle w:val="Title"/>
        <w:rPr>
          <w:sz w:val="20"/>
        </w:rPr>
      </w:pPr>
      <w:r>
        <w:rPr>
          <w:sz w:val="20"/>
        </w:rPr>
        <w:t>BANDWIDTH PURCHASE GENERAL TERMS AND CONDITIONS</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These Bandwidth Purchase General Terms and Conditions, together with any amendment, modification or change made in accordance with Section 12.6 hereof (these </w:t>
      </w:r>
      <w:r>
        <w:rPr>
          <w:b/>
        </w:rPr>
        <w:t>“</w:t>
      </w:r>
      <w:r>
        <w:rPr>
          <w:b/>
          <w:u w:val="single"/>
        </w:rPr>
        <w:t>GTCs</w:t>
      </w:r>
      <w:r>
        <w:rPr>
          <w:b/>
        </w:rPr>
        <w:t>”</w:t>
      </w:r>
      <w:r>
        <w:rPr/>
        <w:t xml:space="preserve">) and, together with the confirmation to which these GTCs are attached (the </w:t>
      </w:r>
      <w:r>
        <w:rPr>
          <w:b/>
        </w:rPr>
        <w:t>“</w:t>
      </w:r>
      <w:r>
        <w:rPr>
          <w:b/>
          <w:u w:val="single"/>
        </w:rPr>
        <w:t>Confirmation</w:t>
      </w:r>
      <w:r>
        <w:rPr>
          <w:b/>
        </w:rPr>
        <w:t>”)</w:t>
      </w:r>
      <w:r>
        <w:rPr/>
        <w:t xml:space="preserve"> shall govern the transaction (the </w:t>
      </w:r>
      <w:r>
        <w:rPr>
          <w:b/>
        </w:rPr>
        <w:t>“</w:t>
      </w:r>
      <w:r>
        <w:rPr>
          <w:b/>
          <w:u w:val="single"/>
        </w:rPr>
        <w:t>Transaction</w:t>
      </w:r>
      <w:r>
        <w:rPr>
          <w:b/>
        </w:rPr>
        <w:t>”</w:t>
      </w:r>
      <w:r>
        <w:rPr/>
        <w:t>) entered into as of the Trade Date between Level 3 Communications, Inc. (</w:t>
      </w:r>
      <w:r>
        <w:rPr>
          <w:b/>
        </w:rPr>
        <w:t>“</w:t>
      </w:r>
      <w:r>
        <w:rPr>
          <w:b/>
          <w:u w:val="single"/>
        </w:rPr>
        <w:t>Seller</w:t>
      </w:r>
      <w:r>
        <w:rPr>
          <w:b/>
        </w:rPr>
        <w:t>”</w:t>
      </w:r>
      <w:r>
        <w:rPr/>
        <w:t>) and Enron Broadband Services, L.P. (</w:t>
      </w:r>
      <w:r>
        <w:rPr>
          <w:b/>
        </w:rPr>
        <w:t>“</w:t>
      </w:r>
      <w:r>
        <w:rPr>
          <w:b/>
          <w:u w:val="single"/>
        </w:rPr>
        <w:t>Buyer</w:t>
      </w:r>
      <w:r>
        <w:rPr>
          <w:b/>
        </w:rPr>
        <w:t>”</w:t>
      </w:r>
      <w:r>
        <w:rPr/>
        <w:t xml:space="preserve">).  Buyer and Seller shall each be referred to as a </w:t>
      </w:r>
      <w:r>
        <w:rPr>
          <w:b/>
        </w:rPr>
        <w:t>“</w:t>
      </w:r>
      <w:r>
        <w:rPr>
          <w:b/>
          <w:u w:val="single"/>
        </w:rPr>
        <w:t>Party</w:t>
      </w:r>
      <w:r>
        <w:rPr>
          <w:b/>
        </w:rPr>
        <w:t>”</w:t>
      </w:r>
      <w:r>
        <w:rPr/>
        <w:t xml:space="preserve"> under these GTCs.  Buyer and Seller hereby agree as follows:</w:t>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The Transaction is entered into in reliance on the fact that these GTCs and the Confirmation form a single agreement between the Parties (collectively referred to as this </w:t>
      </w:r>
      <w:r>
        <w:rPr>
          <w:b/>
        </w:rPr>
        <w:t>“</w:t>
      </w:r>
      <w:r>
        <w:rPr>
          <w:b/>
          <w:u w:val="single"/>
        </w:rPr>
        <w:t>Agreement</w:t>
      </w:r>
      <w:r>
        <w:rPr>
          <w:b/>
        </w:rPr>
        <w:t>”</w:t>
      </w:r>
      <w:r>
        <w:rPr/>
        <w:t>) and the Parties would not otherwise enter into the Transaction.  The Confirmation shall supplement and form a part of, and be subject to these GTCs and shall be read and construed together with these GTCs.  Any capitalized term used herein and not defined in the Section in which it appears shall have the meaning set forth in Section 2 hereof.</w:t>
      </w:r>
    </w:p>
    <w:p>
      <w:pPr>
        <w:pStyle w:val="Heading2"/>
        <w:ind w:hanging="0" w:start="0"/>
        <w:rPr/>
      </w:pPr>
      <w:r>
        <w:rPr>
          <w:b/>
          <w:u w:val="single"/>
        </w:rPr>
        <w:t>1.2.  Exchange of Demarcation Point and Other Information</w:t>
      </w:r>
      <w:r>
        <w:rPr>
          <w:b/>
        </w:rPr>
        <w:t>.</w:t>
      </w:r>
      <w:r>
        <w:rPr/>
        <w:t xml:space="preserve">  Within the time period set forth in the Confirmation (or if no time period is set forth in the Confirmation, 60 Days prior to the beginning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In the event that Seller fails to so provide such Demarcation Point or other information (or causes or prevents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1.2 or Section 3.3 shall not constitute an “Event of Default” to the extent that such payment obligation is satisfied on a timely basis.</w:t>
      </w:r>
    </w:p>
    <w:p>
      <w:pPr>
        <w:pStyle w:val="Heading2"/>
        <w:ind w:hanging="0" w:start="0"/>
        <w:rPr/>
      </w:pPr>
      <w:r>
        <w:rPr>
          <w:b/>
          <w:u w:val="single"/>
        </w:rPr>
        <w:t>1.3.  Term of GTCs</w:t>
      </w:r>
      <w:r>
        <w:rPr>
          <w:b/>
        </w:rPr>
        <w:t>.</w:t>
      </w:r>
      <w:r>
        <w:rPr/>
        <w:t xml:space="preserve">  These GTCs shall be effective as of the Trade Date and shall remain in effect until the Transaction has terminated and  both Parties have fulfilled all their respective obligations with respect  thereto.</w:t>
      </w:r>
    </w:p>
    <w:p>
      <w:pPr>
        <w:pStyle w:val="Heading2"/>
        <w:tabs>
          <w:tab w:val="clear" w:pos="720"/>
          <w:tab w:val="left" w:pos="360" w:leader="none"/>
        </w:tabs>
        <w:ind w:hanging="0" w:start="0"/>
        <w:rPr/>
      </w:pPr>
      <w:r>
        <w:rPr>
          <w:b/>
          <w:u w:val="single"/>
        </w:rPr>
        <w:t>2.</w:t>
        <w:tab/>
        <w:t>Definitions.</w:t>
      </w:r>
      <w:r>
        <w:rPr/>
        <w:t xml:space="preserve">  Terms used, but not expressly defined in this Section or elsewhere in these GTCs, shall have the meanings attributed to such terms in the Confirmation.  All references herein to Sections and Annexes are to those set forth in or attached to these GTCs.  Reference to any document means such document as amended from time to time and reference to any Party includes any permitted successor or assignee of such Party.  The following definitions and any terms defined elsewhere in these GTCs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by the Parties in connection with the Transaction </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Annex C for delivery of “Notices and Correspondence”.</w:t>
      </w:r>
    </w:p>
    <w:p>
      <w:pPr>
        <w:pStyle w:val="Heading2"/>
        <w:ind w:hanging="0" w:start="0"/>
        <w:rPr/>
      </w:pPr>
      <w:r>
        <w:rPr>
          <w:b/>
          <w:i/>
        </w:rPr>
        <w:t>“</w:t>
      </w:r>
      <w:r>
        <w:rPr>
          <w:b/>
          <w:i/>
          <w:u w:val="single"/>
        </w:rPr>
        <w:t>Buyer</w:t>
      </w:r>
      <w:r>
        <w:rPr>
          <w:b/>
          <w:i/>
        </w:rPr>
        <w:t xml:space="preserve">” </w:t>
      </w:r>
      <w:r>
        <w:rPr/>
        <w:t>is defined in the Preamble.</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the Preamble.</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the Transaction in which a QoS Damage Triggering Event or a Seller Damage Triggering Event occurs, (a) the Replacement Price applicable to the Bandwidth Unit to be provided during such Month under the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Pooling Point Administrator for the Transaction identifying the single point of interconnection of Seller or Buyer at a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Heading2"/>
        <w:ind w:hanging="0" w:start="0"/>
        <w:rPr/>
      </w:pPr>
      <w:r>
        <w:rPr>
          <w:b/>
          <w:i/>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the Transaction (or the applicable part(s) thereof).  The Non-Defaulting Party shall calculate Gains in a commercially reasonable manner.</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pPr>
      <w:r>
        <w:rPr>
          <w:b/>
          <w:i/>
        </w:rPr>
        <w:t>“</w:t>
      </w:r>
      <w:r>
        <w:rPr>
          <w:b/>
          <w:i/>
          <w:u w:val="single"/>
        </w:rPr>
        <w:t>Local Access Service</w:t>
      </w:r>
      <w:r>
        <w:rPr>
          <w:b/>
          <w:i/>
        </w:rPr>
        <w:t>”</w:t>
      </w:r>
      <w:r>
        <w:rPr/>
        <w:t xml:space="preserve"> means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the Transaction (or the applicable part(s) thereof).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the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spacing w:val="-2"/>
        </w:rPr>
        <w:t>“</w:t>
      </w:r>
      <w:r>
        <w:rPr>
          <w:b/>
          <w:i/>
          <w:u w:val="single"/>
        </w:rPr>
        <w:t>New Taxes</w:t>
      </w:r>
      <w:r>
        <w:rPr>
          <w:b/>
          <w:i/>
        </w:rPr>
        <w:t>”</w:t>
      </w:r>
      <w:r>
        <w:rPr/>
        <w:t xml:space="preserve"> means (a) any Taxes enacted and effective after the Trade Date</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Justified"/>
        <w:rPr/>
      </w:pPr>
      <w:r>
        <w:rPr>
          <w:rFonts w:cs="Arial Narrow" w:ascii="Arial Narrow" w:hAnsi="Arial Narrow"/>
          <w:b/>
          <w:i/>
          <w:sz w:val="20"/>
        </w:rPr>
        <w:t>“</w:t>
      </w:r>
      <w:r>
        <w:rPr>
          <w:rFonts w:cs="Arial Narrow" w:ascii="Arial Narrow" w:hAnsi="Arial Narrow"/>
          <w:b/>
          <w:i/>
          <w:sz w:val="20"/>
          <w:u w:val="single"/>
        </w:rPr>
        <w:t>Pooling Point</w:t>
      </w:r>
      <w:r>
        <w:rPr>
          <w:rFonts w:cs="Arial Narrow" w:ascii="Arial Narrow" w:hAnsi="Arial Narrow"/>
          <w:b/>
          <w:i/>
          <w:sz w:val="20"/>
        </w:rPr>
        <w:t>”</w:t>
      </w:r>
      <w:r>
        <w:rPr>
          <w:rFonts w:cs="Arial Narrow" w:ascii="Arial Narrow" w:hAnsi="Arial Narrow"/>
          <w:sz w:val="20"/>
        </w:rPr>
        <w:t xml:space="preserve"> means the switching and interconnection facility in a particular physical location specified by the Parties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independent entity that has been appointed to manage the administration (including scheduling and testing) of the Pooling Point</w:t>
      </w:r>
      <w:r>
        <w:rPr>
          <w:spacing w:val="-2"/>
        </w:rPr>
        <w:t xml:space="preserve"> </w:t>
      </w:r>
      <w:r>
        <w:rPr/>
        <w:t>or (b) in the event that an independent entity as described in (a)  above has not been appointed in respect of any applicable Pooling Point, Seller.</w:t>
      </w:r>
    </w:p>
    <w:p>
      <w:pPr>
        <w:pStyle w:val="Heading2"/>
        <w:ind w:hanging="0" w:start="0"/>
        <w:rPr/>
      </w:pPr>
      <w:r>
        <w:rPr>
          <w:b/>
          <w:i/>
        </w:rPr>
        <w:t>“</w:t>
      </w:r>
      <w:r>
        <w:rPr>
          <w:b/>
          <w:i/>
          <w:u w:val="single"/>
        </w:rPr>
        <w:t>QoS</w:t>
      </w:r>
      <w:r>
        <w:rPr>
          <w:b/>
          <w:i/>
        </w:rPr>
        <w:t>”</w:t>
      </w:r>
      <w:r>
        <w:rPr/>
        <w:t xml:space="preserve"> means the benchmark quality of service standards applicable to such Bandwidth Unit, as set forth in Annex A.</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w:t>
      </w:r>
      <w:r>
        <w:rPr>
          <w:rFonts w:cs="Arial Narrow" w:ascii="Arial Narrow" w:hAnsi="Arial Narrow"/>
          <w:sz w:val="20"/>
        </w:rPr>
        <w:t xml:space="preserve"> is defined in Section 3.3(b)(i).</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the price at which Buyer, acting in a commercially reasonable manner, purchases or could purchase Bandwidth Unit(s) (</w:t>
      </w:r>
      <w:r>
        <w:rPr>
          <w:b/>
        </w:rPr>
        <w:t>“</w:t>
      </w:r>
      <w:r>
        <w:rPr>
          <w:b/>
          <w:u w:val="single"/>
        </w:rPr>
        <w:t>Replacement Bandwidth Unit(s</w:t>
      </w:r>
      <w:r>
        <w:rPr/>
        <w:t>)</w:t>
      </w:r>
      <w:r>
        <w:rPr>
          <w:b/>
        </w:rPr>
        <w:t>”</w:t>
      </w:r>
      <w:r>
        <w:rPr/>
        <w:t>) substantially similar to the Bandwidth Unit(s) agreed to be provided by Seller to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other bona fide third party offers and/or Buyer’s Losses in connection with the Bandwidth Unit(s) agreed to be provided by Seller to Buyer during such Month, all adjusted for differences in provisioning and connection charges.  For purposes of this definition, Replacement Bandwidth Units shall be deemed to be Bandwidth Units having substantially the same characteristics as the Bandwidth Units agreed to be provided by Seller to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b/>
          <w:i/>
        </w:rPr>
        <w:t>“</w:t>
      </w:r>
      <w:r>
        <w:rPr>
          <w:b/>
          <w:i/>
          <w:u w:val="single"/>
        </w:rPr>
        <w:t>Seller</w:t>
      </w:r>
      <w:r>
        <w:rPr>
          <w:b/>
          <w:i/>
        </w:rPr>
        <w:t xml:space="preserve">” </w:t>
      </w:r>
      <w:r>
        <w:rPr/>
        <w:t>is defined in the Preamble.</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the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 </w:t>
      </w:r>
    </w:p>
    <w:p>
      <w:pPr>
        <w:pStyle w:val="Heading2"/>
        <w:ind w:hanging="0" w:start="0"/>
        <w:rPr/>
      </w:pPr>
      <w:r>
        <w:rPr>
          <w:b/>
          <w:i/>
        </w:rPr>
        <w:t>“</w:t>
      </w:r>
      <w:r>
        <w:rPr>
          <w:b/>
          <w:i/>
          <w:u w:val="single"/>
        </w:rPr>
        <w:t>Transaction</w:t>
      </w:r>
      <w:r>
        <w:rPr>
          <w:b/>
          <w:i/>
        </w:rPr>
        <w:t>”</w:t>
      </w:r>
      <w:r>
        <w:rPr/>
        <w:t xml:space="preserve"> is defined in the Preamble and includes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the Transaction by Buyer in the Confirmation.</w:t>
      </w:r>
    </w:p>
    <w:p>
      <w:pPr>
        <w:pStyle w:val="Normal"/>
        <w:tabs>
          <w:tab w:val="clear" w:pos="720"/>
          <w:tab w:val="left" w:pos="1350" w:leader="none"/>
        </w:tabs>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payment or interest amount, and in accordance with the instructions of the recipient, payment or delivery by wire transfer into one or more bank accounts specified by the recipient.</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the Transaction.</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w:t>
      </w:r>
      <w:r>
        <w:rPr/>
        <w:t xml:space="preserve"> The Seller agrees to sell and make available, and Buyer agrees to purchase for the relevant Contract Price, Bandwidth Unit(s) for the Term.  Any Local Access Service charges are the sole responsibility and expense of Buyer.  Taxes in connection with the Transaction shall be allocated in accordance with Section 8.</w:t>
      </w:r>
    </w:p>
    <w:p>
      <w:pPr>
        <w:pStyle w:val="Heading2"/>
        <w:ind w:hanging="0" w:start="0"/>
        <w:rPr/>
      </w:pPr>
      <w:r>
        <w:rPr>
          <w:b/>
          <w:u w:val="single"/>
        </w:rPr>
        <w:t>3.2.  Availability and Quality of Service</w:t>
      </w:r>
      <w:r>
        <w:rPr>
          <w:b/>
        </w:rPr>
        <w:t>.</w:t>
      </w:r>
      <w:r>
        <w:rPr/>
        <w:t xml:space="preserve">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prior to the Non-Defaulting Party’s early termination of the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shall recover the amount set forth under the heading “QoS Damages” in Annex A, as liquidated damages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an</w:t>
      </w:r>
      <w:r>
        <w:rPr>
          <w:b/>
        </w:rPr>
        <w:t xml:space="preserve"> “</w:t>
      </w:r>
      <w:r>
        <w:rPr>
          <w:b/>
          <w:u w:val="single"/>
        </w:rPr>
        <w:t>Event of Default Triggering Event</w:t>
      </w:r>
      <w:r>
        <w:rPr>
          <w:b/>
        </w:rPr>
        <w:t>”</w:t>
      </w:r>
      <w:r>
        <w:rPr/>
        <w:t>), such event shall constitute an “Event of Default” with respect to Seller under Section 6.1(f).</w:t>
      </w:r>
    </w:p>
    <w:p>
      <w:pPr>
        <w:pStyle w:val="Heading2"/>
        <w:ind w:hanging="0" w:start="0"/>
        <w:rPr/>
      </w:pPr>
      <w:r>
        <w:rPr/>
        <w:t>(c) Buyer shall notify Seller of the occurrence of a QoS Damage Triggering Event or an Event of Default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Seller makes no representation, warranty or assurance that Buyer’s equipment and data will be compatible with any Bandwidth Unit being sold or with any connection or interconnection with the Pooling Points at each end of a Segment.</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Seller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accept and use any Bandwidth Unit(s) being purchased hereunder.  Each Party shall be responsible for requesting the Pooling Point Administrator (or its relevant agents or sub-contractors) to provide the Demarcation Point at a particular Pooling Point.  In addition, Buyer shall be responsible for any costs and/or expenses associated with its interconnection to Seller at the Demarcation Point within any particular Pooling Point.  The Parties agree to cooperate and provide reasonable assistance to each other in initial testing of each Bandwidth Unit in, accordance with industry standard testing procedures and protocols.  Except as otherwise provided herein, each Party shall conduct its operations and use Bandwidth Units in a manner that does not interrupt, impair or interfere with the operations of the other Party’s system.</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b/>
        </w:rPr>
        <w:t>.</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Unless Buyer provides a certificate of resale in respect of Bandwidth Units, the applicable billing statement shall include any Universal Service Fund payments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Interest on past due amounts shall accrue at the Default Rate.</w:t>
      </w:r>
    </w:p>
    <w:p>
      <w:pPr>
        <w:pStyle w:val="Heading2"/>
        <w:ind w:hanging="0" w:start="0"/>
        <w:rPr/>
      </w:pPr>
      <w:r>
        <w:rPr>
          <w:b/>
          <w:u w:val="single"/>
        </w:rPr>
        <w:t>5.2.  Netting and Setoff</w:t>
      </w:r>
      <w:r>
        <w:rPr>
          <w:b/>
        </w:rPr>
        <w:t>.</w:t>
      </w:r>
      <w:r>
        <w:rPr/>
        <w:t xml:space="preserve">  If the Parties owe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any representation or warranty made by a Party hereunder shall prove to have been untrue in any material respect when made;</w:t>
      </w:r>
    </w:p>
    <w:p>
      <w:pPr>
        <w:pStyle w:val="Heading2"/>
        <w:ind w:hanging="0" w:start="0"/>
        <w:rPr/>
      </w:pPr>
      <w:r>
        <w:rPr/>
        <w:t>(e) the occurrence, as to Seller, of an Event of Default Triggering Event.</w:t>
      </w:r>
    </w:p>
    <w:p>
      <w:pPr>
        <w:pStyle w:val="Heading2"/>
        <w:ind w:hanging="0" w:start="0"/>
        <w:rPr/>
      </w:pPr>
      <w:r>
        <w:rPr/>
        <w:t>Upon the occurrence and during the continuation of an Event of Default as to the Defaulting Party, the other party (</w:t>
      </w:r>
      <w:r>
        <w:rPr>
          <w:b/>
        </w:rPr>
        <w:t>“</w:t>
      </w:r>
      <w:r>
        <w:rPr>
          <w:b/>
          <w:u w:val="single"/>
        </w:rPr>
        <w:t>Non-Defaulting Party</w:t>
      </w:r>
      <w:r>
        <w:rPr>
          <w:b/>
        </w:rPr>
        <w:t>”</w:t>
      </w:r>
      <w:r>
        <w:rPr/>
        <w:t>) may, in its sole discretion,</w:t>
      </w:r>
    </w:p>
    <w:p>
      <w:pPr>
        <w:pStyle w:val="Heading2"/>
        <w:ind w:hanging="0" w:start="0"/>
        <w:rPr/>
      </w:pPr>
      <w:r>
        <w:rPr/>
        <w:t>(i) accelerate and liquidate the Parties’ respective obligations under the Transaction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the Transaction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the Transaction until such Event of Default is cured.</w:t>
      </w:r>
    </w:p>
    <w:p>
      <w:pPr>
        <w:pStyle w:val="Heading2"/>
        <w:ind w:hanging="0" w:start="0"/>
        <w:rPr/>
      </w:pPr>
      <w:r>
        <w:rPr/>
        <w:t>Notwithstanding the immediately preceding sentence, if the Event of Default is one described in clause (e) above and the Non-Defaulting Party has elected to declare an Early Termination Date, the Non-Defaulting Party may, in its sole discretion, choose to terminate (A) the entire Transaction or (B) only the part of the Transaction (or part(s) thereof) which gave rise to such Event(s) of Default (in which latter case, as to the part of the Transaction (or part(s) thereof) not then terminated, this Agreement and the Confirmation shall remain in effect without prejudice to the Non-Defaulting Party’s rights under this Section 6.1 to declare an Early Termination Date as to such remaining part(s) of the Transaction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 or part(s) thereof.  Such Gains, Losses and Costs with respect to the terminated Transaction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the terminated Transaction (or part(s) thereof, had it not been terminated) to the market value of an equivalent replacement transaction having a term equal to the remaining Term of the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the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the Transaction to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the Transaction, such Party (the</w:t>
      </w:r>
      <w:r>
        <w:rPr>
          <w:b/>
        </w:rPr>
        <w:t xml:space="preserve"> “</w:t>
      </w:r>
      <w:r>
        <w:rPr>
          <w:b/>
          <w:u w:val="single"/>
        </w:rPr>
        <w:t>Claiming</w:t>
      </w:r>
      <w:r>
        <w:rPr>
          <w:b/>
          <w:i/>
          <w:u w:val="single"/>
        </w:rPr>
        <w:t xml:space="preserve"> </w:t>
      </w:r>
      <w:r>
        <w:rPr>
          <w:b/>
          <w:u w:val="single"/>
        </w:rPr>
        <w:t>Party</w:t>
      </w:r>
      <w:r>
        <w:rPr>
          <w:b/>
        </w:rPr>
        <w:t>”</w:t>
      </w:r>
      <w:r>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the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Transaction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Transaction unless such change in law or regulation affects the market for Bandwidth generally by preventing performance by all similarly situated parties under similar transactions.  The Parties acknowledge and agree that the Pooling Point Administrator may declare an event of  Force Majeure as to a Pooling Point and/or related facilities with such Pooling Point.</w:t>
      </w:r>
    </w:p>
    <w:p>
      <w:pPr>
        <w:pStyle w:val="Heading2"/>
        <w:tabs>
          <w:tab w:val="clear" w:pos="720"/>
          <w:tab w:val="left" w:pos="360" w:leader="none"/>
        </w:tabs>
        <w:ind w:hanging="0" w:start="0"/>
        <w:rPr>
          <w:b/>
          <w:u w:val="single"/>
        </w:rPr>
      </w:pPr>
      <w:r>
        <w:rPr>
          <w:b/>
          <w:u w:val="single"/>
        </w:rPr>
        <w:t>8.</w:t>
        <w:tab/>
        <w:t>Taxes</w:t>
      </w:r>
      <w:r>
        <w:rPr>
          <w:b/>
        </w:rPr>
        <w:t>.</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harmless from any Claims for such Taxes.</w:t>
      </w:r>
    </w:p>
    <w:p>
      <w:pPr>
        <w:pStyle w:val="Heading2"/>
        <w:ind w:hanging="0" w:start="0"/>
        <w:rPr>
          <w:b/>
          <w:u w:val="single"/>
        </w:rPr>
      </w:pPr>
      <w:r>
        <w:rPr>
          <w:b/>
          <w:u w:val="single"/>
        </w:rPr>
        <w:t>8.2.  New Taxes.</w:t>
      </w:r>
    </w:p>
    <w:p>
      <w:pPr>
        <w:pStyle w:val="Heading2"/>
        <w:ind w:hanging="0" w:start="0"/>
        <w:rPr/>
      </w:pPr>
      <w:r>
        <w:rPr/>
        <w:t xml:space="preserve">(a) </w:t>
      </w:r>
      <w:r>
        <w:rPr>
          <w:u w:val="single"/>
        </w:rPr>
        <w:t>Pass-Through Taxes</w:t>
      </w:r>
      <w:r>
        <w:rPr/>
        <w:t>.  If,</w:t>
      </w:r>
    </w:p>
    <w:p>
      <w:pPr>
        <w:pStyle w:val="Heading2"/>
        <w:ind w:hanging="0" w:start="0"/>
        <w:rPr/>
      </w:pPr>
      <w:r>
        <w:rPr/>
        <w:t xml:space="preserve">(i) a New Tax occurs as to the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the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Transaction in accordance with the provisions of this Agreement, as if such event constituted an Event of Default and Buyer, as the Non-Defaulting Party, were entitled to, and did choose to, terminate only the part of Transaction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Seller does not elect to pay the New Tax for any period of time within the Agreement Period, the Early Termination Date shall take effect as to the Transaction,</w:t>
      </w:r>
    </w:p>
    <w:p>
      <w:pPr>
        <w:pStyle w:val="Heading2"/>
        <w:ind w:hanging="0" w:start="720" w:end="0"/>
        <w:rPr/>
      </w:pPr>
      <w:r>
        <w:rPr/>
        <w:t>(E) the Early Termination Date shall be effected as if such event constituted an Event of Default and Buyer, as the Non-Defaulting Party, were entitled to, and did choose to, terminate only the part of the Transaction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the Transaction,</w:t>
      </w:r>
    </w:p>
    <w:p>
      <w:pPr>
        <w:pStyle w:val="Heading2"/>
        <w:ind w:hanging="0" w:start="0"/>
        <w:rPr/>
      </w:pPr>
      <w:r>
        <w:rPr/>
        <w:t>(a) each Party represents and warrants to the other Party that:</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the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the Transaction,</w:t>
      </w:r>
    </w:p>
    <w:p>
      <w:pPr>
        <w:pStyle w:val="Heading2"/>
        <w:ind w:hanging="0" w:start="0"/>
        <w:rPr/>
      </w:pPr>
      <w:r>
        <w:rPr/>
        <w:t>(iv) the execution, delivery and performance of this Agreement and the Transaction are within its power, have been duly authorized by all necessary action and do not violate its governing documents or any law applicable to it,</w:t>
      </w:r>
    </w:p>
    <w:p>
      <w:pPr>
        <w:pStyle w:val="Heading2"/>
        <w:ind w:hanging="0" w:start="0"/>
        <w:rPr/>
      </w:pPr>
      <w:r>
        <w:rPr/>
        <w:t>(v) this Agreement and the Transaction constitute legally valid and binding obligations enforceable against it in accordance with its terms, subject to any equitable defenses,</w:t>
      </w:r>
    </w:p>
    <w:p>
      <w:pPr>
        <w:pStyle w:val="Heading2"/>
        <w:ind w:hanging="0" w:start="0"/>
        <w:rPr/>
      </w:pPr>
      <w:r>
        <w:rPr/>
        <w:t>(vi) there are no Bankruptcy Proceedings pending or being contemplated by it or to its knowledge, threatened against it,</w:t>
      </w:r>
    </w:p>
    <w:p>
      <w:pPr>
        <w:pStyle w:val="Heading2"/>
        <w:ind w:hanging="0" w:start="0"/>
        <w:rPr/>
      </w:pPr>
      <w:r>
        <w:rPr/>
        <w:t>(vii) there are no legal proceedings that materially adversely affect its ability to perform under this Agreement or the Transaction,</w:t>
      </w:r>
    </w:p>
    <w:p>
      <w:pPr>
        <w:pStyle w:val="BodyTextIndent"/>
        <w:ind w:hanging="0" w:start="0" w:end="0"/>
        <w:rPr>
          <w:rFonts w:ascii="Arial Narrow" w:hAnsi="Arial Narrow" w:cs="Arial Narrow"/>
          <w:sz w:val="20"/>
        </w:rPr>
      </w:pPr>
      <w:r>
        <w:rPr>
          <w:rFonts w:cs="Arial Narrow" w:ascii="Arial Narrow" w:hAnsi="Arial Narrow"/>
          <w:sz w:val="20"/>
        </w:rPr>
        <w:t>(viii) It is entering into the Transaction and this Agreement in conjunction with its line of business, and</w:t>
      </w:r>
    </w:p>
    <w:p>
      <w:pPr>
        <w:pStyle w:val="BodyTextIndent"/>
        <w:ind w:hanging="0" w:start="0" w:end="0"/>
        <w:rPr>
          <w:rFonts w:ascii="Arial Narrow" w:hAnsi="Arial Narrow" w:cs="Arial Narrow"/>
          <w:sz w:val="20"/>
        </w:rPr>
      </w:pPr>
      <w:r>
        <w:rPr>
          <w:rFonts w:cs="Arial Narrow" w:ascii="Arial Narrow" w:hAnsi="Arial Narrow"/>
          <w:sz w:val="20"/>
        </w:rPr>
      </w:r>
    </w:p>
    <w:p>
      <w:pPr>
        <w:pStyle w:val="Normal"/>
        <w:spacing w:lineRule="exact" w:line="240"/>
        <w:jc w:val="both"/>
        <w:rPr>
          <w:rFonts w:ascii="Arial Narrow" w:hAnsi="Arial Narrow" w:cs="Arial Narrow"/>
          <w:sz w:val="20"/>
        </w:rPr>
      </w:pPr>
      <w:r>
        <w:rPr>
          <w:rFonts w:cs="Arial Narrow" w:ascii="Arial Narrow" w:hAnsi="Arial Narrow"/>
          <w:sz w:val="20"/>
        </w:rPr>
        <w:t>(ix) In connection with the Transaction and this Agreement:  (A) it is acting as principal; (B) it is not acting as a fiduciary or financial or investment advisor for it; (C) it is not relying upon any representations (whether written or oral) of the other Party other than the representations expressly set forth in this Agreement; (D) it has not been given (directly or indirectly through any other Person) any advice, counsel, assurance, guarantee, or representation by the other Party whatsoever as to the expected or projected success, profitability, return, performance, result, effect, consequence, or benefit (either legal, regulatory, tax, financial, accounting, or otherwise) of the Transaction or this Agreement; (E)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(F) its decisions have been the result of arm’s length negotiations between the Parties; and (G) it is entering into the Transaction and this Agreement with a full understanding of all of the risks hereof and thereof (economic and otherwise), and it is capable of assuming and willing to assume those risks.</w:t>
      </w:r>
    </w:p>
    <w:p>
      <w:pPr>
        <w:pStyle w:val="Normal"/>
        <w:spacing w:lineRule="exact" w:line="240"/>
        <w:jc w:val="both"/>
        <w:rPr>
          <w:rFonts w:ascii="Arial Narrow" w:hAnsi="Arial Narrow" w:cs="Arial Narrow"/>
          <w:sz w:val="20"/>
        </w:rPr>
      </w:pPr>
      <w:r>
        <w:rPr>
          <w:rFonts w:cs="Arial Narrow" w:ascii="Arial Narrow" w:hAnsi="Arial Narrow"/>
          <w:sz w:val="20"/>
        </w:rPr>
      </w:r>
    </w:p>
    <w:p>
      <w:pPr>
        <w:pStyle w:val="Heading2"/>
        <w:ind w:hanging="0" w:start="0"/>
        <w:rPr/>
      </w:pPr>
      <w:r>
        <w:rPr/>
        <w:t>(b) Each Party covenants that it will cause the representations and warranties set forth in clause (a) of this Section 10 to be true and correct on the date hereof, on the date the Transaction was entered into and throughout the term of the Transaction.</w:t>
      </w:r>
    </w:p>
    <w:p>
      <w:pPr>
        <w:pStyle w:val="Heading2"/>
        <w:ind w:hanging="0" w:start="0"/>
        <w:rPr/>
      </w:pPr>
      <w:r>
        <w:rPr/>
        <w:t>(c) If requested by a Party, the other Party shall deliver (i) within 120 Days following the end of each fiscal year, a copy of its annual report containing audited consolidated financial statements for such fiscal year certified by independent certified public accountants, and (ii) within 60 Days after the end of each of its first three fiscal quarters of each fiscal year, its unaudited consolidated financial statements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such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w:t>
      </w:r>
      <w:r>
        <w:rPr/>
        <w:t xml:space="preserve">  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The Transaction shall be binding upon and inure to the benefit of, and may be performed by, the respective successors and assigns of the Parties, except that no assignment, pledge, or other transfer by either Party (the </w:t>
      </w:r>
      <w:r>
        <w:rPr>
          <w:b/>
        </w:rPr>
        <w:t>“</w:t>
      </w:r>
      <w:r>
        <w:rPr>
          <w:b/>
          <w:u w:val="single"/>
        </w:rPr>
        <w:t>Assigning Party</w:t>
      </w:r>
      <w:r>
        <w:rPr>
          <w:b/>
        </w:rPr>
        <w:t>”</w:t>
      </w:r>
      <w:r>
        <w:rPr/>
        <w:t>) shall operate to release the Assigning Party from any of its obligations under this Agreement unless:  (a) consent to such release is given in writing by the other Party, which consent shall not be unreasonably withheld or delayed; (b) such assignment, pledge or transfer (i) constitutes an assignment, pledge or transfer of the entire Transaction,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the Transaction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Annex C</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the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the Transaction (other than as permitted hereunder) so that the other Party may use reasonable efforts to prevent or limit the disclosure.  The provisions of these GTCs, other than the terms of the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THE TRANSACTION (EXCEPT TO THE EXTENT OTHERWISE PROVIDED IN THE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The Confirmation, these GTCs and any Annexes hereto are a part hereof, and the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the Transaction shall be enforceable unless reduced to a writing and executed by the Party against whom such amendment, modification or change is sought to be enforced and unless specifically referencing this Agreement and the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The Confirmation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the Transaction.  In the event any provision of this Agreement or the Transaction is declared unlawful, the remainder of this Agreement and the Transaction shall survive and remain in full force and effect and the Parties will promptly renegotiate to restore this Agreement including the Transaction, as near as possible to its original intent and economic effect.</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the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the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r>
        <w:br w:type="page"/>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t>ANNEX C</w:t>
      </w:r>
    </w:p>
    <w:p>
      <w:pPr>
        <w:pStyle w:val="Normal"/>
        <w:jc w:val="center"/>
        <w:rPr>
          <w:rFonts w:ascii="Arial Narrow" w:hAnsi="Arial Narrow" w:cs="Arial Narrow"/>
          <w:b/>
          <w:sz w:val="20"/>
        </w:rPr>
      </w:pPr>
      <w:r>
        <w:rPr>
          <w:rFonts w:cs="Arial Narrow" w:ascii="Arial Narrow" w:hAnsi="Arial Narrow"/>
          <w:b/>
          <w:sz w:val="20"/>
        </w:rPr>
        <w:t>NOTICES AND PAYMENT INFORMATION</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BUYER: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America-Dallas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Texas  77002</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No.: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No.:  3751443324</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rPr>
              <w:t>FAX No.:  (713) 646-8514</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1400 Smith Street</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Suite 4400</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Houston, Texas  77002</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Attn.:  Bandwidth Trading Contract Settlements Manager</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Phone:  (713) 853-9312</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Buyer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SELLER:</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NOTICES &amp; CORRESPONDENCE:</w:t>
            </w:r>
          </w:p>
        </w:tc>
        <w:tc>
          <w:tcPr>
            <w:tcW w:w="5198" w:type="dxa"/>
            <w:tcBorders/>
          </w:tcPr>
          <w:p>
            <w:pPr>
              <w:pStyle w:val="Normal"/>
              <w:tabs>
                <w:tab w:val="clear" w:pos="720"/>
                <w:tab w:val="left" w:pos="-4716" w:leader="none"/>
                <w:tab w:val="left" w:pos="-864" w:leader="none"/>
              </w:tabs>
              <w:jc w:val="both"/>
              <w:rPr>
                <w:rFonts w:ascii="Arial Narrow" w:hAnsi="Arial Narrow" w:cs="Arial Narrow"/>
                <w:b/>
                <w:sz w:val="20"/>
              </w:rPr>
            </w:pPr>
            <w:r>
              <w:rPr>
                <w:rFonts w:cs="Arial Narrow" w:ascii="Arial Narrow" w:hAnsi="Arial Narrow"/>
                <w:b/>
                <w:sz w:val="20"/>
              </w:rPr>
              <w:t>PAYMENTS: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Level 3 Communications, Inc.</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rStyle w:val="PageNumber"/>
                <w:rFonts w:ascii="Arial Narrow" w:hAnsi="Arial Narrow" w:cs="Arial Narrow"/>
                <w:sz w:val="20"/>
              </w:rPr>
            </w:pPr>
            <w:r>
              <w:rPr>
                <w:rStyle w:val="PageNumber"/>
                <w:rFonts w:cs="Arial Narrow" w:ascii="Arial Narrow" w:hAnsi="Arial Narrow"/>
                <w:sz w:val="20"/>
                <w:u w:val="single"/>
              </w:rPr>
              <w:tab/>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pPr>
            <w:r>
              <w:rPr>
                <w:rFonts w:cs="Arial Narrow" w:ascii="Arial Narrow" w:hAnsi="Arial Narrow"/>
                <w:sz w:val="20"/>
              </w:rPr>
              <w:t>for:  Level 3 Communications, Inc.</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5198" w:type="dxa"/>
            <w:tcBorders/>
          </w:tcPr>
          <w:p>
            <w:pPr>
              <w:pStyle w:val="Normal"/>
              <w:tabs>
                <w:tab w:val="clear" w:pos="720"/>
                <w:tab w:val="left" w:pos="-4716" w:leader="none"/>
                <w:tab w:val="left" w:pos="-864"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ABA Routing No.:  </w:t>
            </w:r>
            <w:r>
              <w:rPr>
                <w:rFonts w:cs="Arial Narrow" w:ascii="Arial Narrow" w:hAnsi="Arial Narrow"/>
                <w:sz w:val="20"/>
                <w:u w:val="single"/>
              </w:rPr>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Account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No.:</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TECHNICAL MATTERS</w:t>
            </w:r>
          </w:p>
        </w:tc>
        <w:tc>
          <w:tcPr>
            <w:tcW w:w="5198" w:type="dxa"/>
            <w:tcBorders/>
          </w:tcPr>
          <w:p>
            <w:pPr>
              <w:pStyle w:val="Normal"/>
              <w:tabs>
                <w:tab w:val="clear" w:pos="720"/>
                <w:tab w:val="left" w:pos="-4716" w:leader="none"/>
                <w:tab w:val="left" w:pos="-864" w:leader="none"/>
              </w:tabs>
              <w:jc w:val="both"/>
              <w:rPr>
                <w:rFonts w:ascii="Arial Narrow" w:hAnsi="Arial Narrow" w:cs="Arial Narrow"/>
                <w:b/>
                <w:sz w:val="20"/>
              </w:rPr>
            </w:pPr>
            <w:r>
              <w:rPr>
                <w:rFonts w:cs="Arial Narrow" w:ascii="Arial Narrow" w:hAnsi="Arial Narrow"/>
                <w:b/>
                <w:sz w:val="20"/>
              </w:rPr>
              <w:t>INVOICES AND ACCOUNTING MATTERS:</w:t>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sz w:val="20"/>
              </w:rPr>
            </w:pPr>
            <w:r>
              <w:rPr>
                <w:rFonts w:cs="Arial Narrow" w:ascii="Arial Narrow" w:hAnsi="Arial Narrow"/>
                <w:sz w:val="20"/>
              </w:rPr>
              <w:t>On Site Contact Information:</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rPr>
              <w:t>Level 3 Communications, Inc.</w:t>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sz w:val="20"/>
              </w:rPr>
            </w:pPr>
            <w:r>
              <w:rPr>
                <w:rFonts w:cs="Arial Narrow" w:ascii="Arial Narrow" w:hAnsi="Arial Narrow"/>
                <w:sz w:val="20"/>
              </w:rPr>
              <w:t>Full Name: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sz w:val="20"/>
              </w:rPr>
            </w:pPr>
            <w:r>
              <w:rPr>
                <w:rFonts w:cs="Arial Narrow" w:ascii="Arial Narrow" w:hAnsi="Arial Narrow"/>
                <w:sz w:val="20"/>
              </w:rPr>
              <w:t>Phone: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tcBorders/>
          </w:tcPr>
          <w:p>
            <w:pPr>
              <w:pStyle w:val="Normal"/>
              <w:tabs>
                <w:tab w:val="clear" w:pos="720"/>
                <w:tab w:val="left" w:pos="-4716" w:leader="none"/>
                <w:tab w:val="left" w:pos="-864"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rPr>
              <w:t>Cellular (Optional):</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tabs>
                <w:tab w:val="clear" w:pos="720"/>
                <w:tab w:val="left" w:pos="-4716" w:leader="none"/>
                <w:tab w:val="left" w:pos="-864"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E-mail Address:</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System:</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Full Name: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Phone: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Fax:</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Pager:</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Cellular (Optional):</w:t>
            </w:r>
          </w:p>
        </w:tc>
        <w:tc>
          <w:tcPr>
            <w:tcW w:w="5198"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E-mail Address:</w:t>
            </w:r>
          </w:p>
        </w:tc>
        <w:tc>
          <w:tcPr>
            <w:tcW w:w="5198"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b/>
                <w:sz w:val="20"/>
              </w:rPr>
              <w:t>24 Hour Contact:</w:t>
            </w:r>
          </w:p>
        </w:tc>
        <w:tc>
          <w:tcPr>
            <w:tcW w:w="5198"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or to such other address as Seller shall from time to time designate by notice properly given under this Agreement.</w:t>
      </w:r>
    </w:p>
    <w:p>
      <w:pPr>
        <w:pStyle w:val="Normal"/>
        <w:spacing w:lineRule="exact" w:line="280"/>
        <w:jc w:val="center"/>
        <w:rPr>
          <w:rFonts w:ascii="Arial Narrow" w:hAnsi="Arial Narrow" w:cs="Arial Narrow"/>
          <w:sz w:val="20"/>
        </w:rPr>
      </w:pPr>
      <w:r>
        <w:rPr>
          <w:rFonts w:cs="Arial Narrow" w:ascii="Arial Narrow" w:hAnsi="Arial Narrow"/>
          <w:sz w:val="20"/>
        </w:rPr>
      </w:r>
    </w:p>
    <w:sectPr>
      <w:footerReference w:type="default" r:id="rId3"/>
      <w:type w:val="nextPage"/>
      <w:pgSz w:w="12240" w:h="15840"/>
      <w:pgMar w:left="1800" w:right="180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287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18</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18</w:t>
                    </w:r>
                    <w:r>
                      <w:rPr>
                        <w:rStyle w:val="PageNumber"/>
                        <w:sz w:val="20"/>
                        <w:rFonts w:cs="Arial Narrow" w:ascii="Arial Narrow" w:hAnsi="Arial Narrow"/>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b/>
      <w:u w:val="single"/>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b/>
      <w:u w:val="single"/>
    </w:rPr>
  </w:style>
  <w:style w:type="character" w:styleId="WW8Num35z0">
    <w:name w:val="WW8Num35z0"/>
    <w:qFormat/>
    <w:rPr>
      <w:rFonts w:ascii="Wingdings" w:hAnsi="Wingdings" w:cs="Wingdings"/>
    </w:rPr>
  </w:style>
  <w:style w:type="character" w:styleId="WW8Num36z0">
    <w:name w:val="WW8Num36z0"/>
    <w:qFormat/>
    <w:rPr>
      <w:b/>
      <w:u w:val="single"/>
    </w:rPr>
  </w:style>
  <w:style w:type="character" w:styleId="WW8Num37z0">
    <w:name w:val="WW8Num37z0"/>
    <w:qFormat/>
    <w:rPr>
      <w:b/>
      <w:u w:val="single"/>
    </w:rPr>
  </w:style>
  <w:style w:type="character" w:styleId="WW8Num38z0">
    <w:name w:val="WW8Num38z0"/>
    <w:qFormat/>
    <w:rPr>
      <w:sz w:val="18"/>
    </w:rPr>
  </w:style>
  <w:style w:type="character" w:styleId="WW8Num39z0">
    <w:name w:val="WW8Num39z0"/>
    <w:qFormat/>
    <w:rPr>
      <w:rFonts w:ascii="Wingdings" w:hAnsi="Wingdings" w:cs="Wingdings"/>
    </w:rPr>
  </w:style>
  <w:style w:type="character" w:styleId="WW8Num40z0">
    <w:name w:val="WW8Num40z0"/>
    <w:qFormat/>
    <w:rPr>
      <w:b/>
      <w:u w:val="single"/>
    </w:rPr>
  </w:style>
  <w:style w:type="character" w:styleId="WW8Num41z0">
    <w:name w:val="WW8Num41z0"/>
    <w:qFormat/>
    <w:rPr/>
  </w:style>
  <w:style w:type="character" w:styleId="WW8Num41z1">
    <w:name w:val="WW8Num41z1"/>
    <w:qFormat/>
    <w:rPr>
      <w:b/>
    </w:rPr>
  </w:style>
  <w:style w:type="character" w:styleId="WW8Num42z0">
    <w:name w:val="WW8Num42z0"/>
    <w:qFormat/>
    <w:rPr>
      <w:rFonts w:ascii="Symbol" w:hAnsi="Symbol" w:cs="Symbol"/>
    </w:rPr>
  </w:style>
  <w:style w:type="character" w:styleId="WW8Num43z0">
    <w:name w:val="WW8Num43z0"/>
    <w:qFormat/>
    <w:rPr>
      <w:b/>
      <w:u w:val="single"/>
    </w:rPr>
  </w:style>
  <w:style w:type="character" w:styleId="WW8Num44z0">
    <w:name w:val="WW8Num44z0"/>
    <w:qFormat/>
    <w:rPr>
      <w:rFonts w:ascii="Wingdings" w:hAnsi="Wingdings" w:cs="Wingdings"/>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Wingdings" w:hAnsi="Wingdings" w:cs="Wingdings"/>
    </w:rPr>
  </w:style>
  <w:style w:type="character" w:styleId="WW8Num51z0">
    <w:name w:val="WW8Num51z0"/>
    <w:qFormat/>
    <w:rPr>
      <w:b/>
      <w:u w:val="single"/>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3"/>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2000-09-19T17:16:00Z</dcterms:created>
  <dc:creator>vv24f</dc:creator>
  <dc:description/>
  <dc:language>en-CA</dc:language>
  <cp:lastModifiedBy>amy_degeyter</cp:lastModifiedBy>
  <cp:lastPrinted>2000-09-22T10:47:00Z</cp:lastPrinted>
  <dcterms:modified xsi:type="dcterms:W3CDTF">2000-09-22T15:17:00Z</dcterms:modified>
  <cp:revision>10</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