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 xml:space="preserve"> </w:t>
      </w:r>
      <w:r>
        <w:rPr/>
        <w:t>DRAFT AGENDA</w:t>
      </w:r>
    </w:p>
    <w:p>
      <w:pPr>
        <w:pStyle w:val="Normal"/>
        <w:jc w:val="center"/>
        <w:rPr>
          <w:i/>
          <w:i/>
          <w:iCs/>
        </w:rPr>
      </w:pPr>
      <w:r>
        <w:rPr>
          <w:i/>
          <w:iCs/>
        </w:rPr>
        <w:t>October 3, 2001</w:t>
      </w:r>
    </w:p>
    <w:p>
      <w:pPr>
        <w:pStyle w:val="Normal"/>
        <w:jc w:val="center"/>
        <w:rPr>
          <w:i/>
          <w:i/>
          <w:iCs/>
        </w:rPr>
      </w:pPr>
      <w:r>
        <w:rPr>
          <w:i/>
          <w:iCs/>
        </w:rPr>
        <w:t>10 AM – 2 PM</w:t>
      </w:r>
    </w:p>
    <w:p>
      <w:pPr>
        <w:pStyle w:val="Normal"/>
        <w:rPr/>
      </w:pPr>
      <w:r>
        <w:rPr/>
      </w:r>
    </w:p>
    <w:p>
      <w:pPr>
        <w:pStyle w:val="Normal"/>
        <w:numPr>
          <w:ilvl w:val="0"/>
          <w:numId w:val="2"/>
        </w:numPr>
        <w:tabs>
          <w:tab w:val="clear" w:pos="720"/>
        </w:tabs>
        <w:ind w:hanging="360" w:start="360" w:end="0"/>
        <w:rPr>
          <w:sz w:val="22"/>
        </w:rPr>
      </w:pPr>
      <w:r>
        <w:rPr>
          <w:sz w:val="22"/>
        </w:rPr>
        <w:t>Set meeting goals</w:t>
      </w:r>
    </w:p>
    <w:p>
      <w:pPr>
        <w:pStyle w:val="Normal"/>
        <w:numPr>
          <w:ilvl w:val="0"/>
          <w:numId w:val="2"/>
        </w:numPr>
        <w:tabs>
          <w:tab w:val="clear" w:pos="720"/>
        </w:tabs>
        <w:ind w:hanging="360" w:start="360" w:end="0"/>
        <w:rPr>
          <w:sz w:val="22"/>
        </w:rPr>
      </w:pPr>
      <w:r>
        <w:rPr>
          <w:sz w:val="22"/>
        </w:rPr>
        <w:t>Status report on California</w:t>
      </w:r>
    </w:p>
    <w:p>
      <w:pPr>
        <w:pStyle w:val="Normal"/>
        <w:numPr>
          <w:ilvl w:val="0"/>
          <w:numId w:val="2"/>
        </w:numPr>
        <w:tabs>
          <w:tab w:val="clear" w:pos="720"/>
        </w:tabs>
        <w:ind w:hanging="360" w:start="360" w:end="0"/>
        <w:rPr>
          <w:sz w:val="22"/>
        </w:rPr>
      </w:pPr>
      <w:r>
        <w:rPr>
          <w:sz w:val="22"/>
        </w:rPr>
        <w:t>Identify key risks to California book</w:t>
      </w:r>
    </w:p>
    <w:p>
      <w:pPr>
        <w:pStyle w:val="Normal"/>
        <w:numPr>
          <w:ilvl w:val="0"/>
          <w:numId w:val="2"/>
        </w:numPr>
        <w:tabs>
          <w:tab w:val="clear" w:pos="720"/>
        </w:tabs>
        <w:ind w:hanging="360" w:start="360" w:end="0"/>
        <w:rPr>
          <w:sz w:val="22"/>
        </w:rPr>
      </w:pPr>
      <w:r>
        <w:rPr>
          <w:sz w:val="22"/>
        </w:rPr>
        <w:t>Identify the Desk’s information requirements</w:t>
      </w:r>
    </w:p>
    <w:p>
      <w:pPr>
        <w:pStyle w:val="Normal"/>
        <w:numPr>
          <w:ilvl w:val="0"/>
          <w:numId w:val="2"/>
        </w:numPr>
        <w:tabs>
          <w:tab w:val="clear" w:pos="720"/>
        </w:tabs>
        <w:ind w:hanging="360" w:start="360" w:end="0"/>
        <w:rPr>
          <w:sz w:val="22"/>
        </w:rPr>
      </w:pPr>
      <w:r>
        <w:rPr>
          <w:sz w:val="22"/>
        </w:rPr>
        <w:t>Identify systems/individuals for information flow</w:t>
      </w:r>
    </w:p>
    <w:p>
      <w:pPr>
        <w:pStyle w:val="Normal"/>
        <w:numPr>
          <w:ilvl w:val="0"/>
          <w:numId w:val="2"/>
        </w:numPr>
        <w:tabs>
          <w:tab w:val="clear" w:pos="720"/>
        </w:tabs>
        <w:ind w:hanging="360" w:start="360" w:end="0"/>
        <w:rPr>
          <w:sz w:val="22"/>
        </w:rPr>
      </w:pPr>
      <w:r>
        <w:rPr>
          <w:sz w:val="22"/>
        </w:rPr>
        <w:t>Close</w:t>
      </w:r>
    </w:p>
    <w:p>
      <w:pPr>
        <w:pStyle w:val="Normal"/>
        <w:rPr>
          <w:sz w:val="22"/>
        </w:rPr>
      </w:pPr>
      <w:r>
        <w:rPr>
          <w:sz w:val="22"/>
        </w:rPr>
      </w:r>
    </w:p>
    <w:p>
      <w:pPr>
        <w:pStyle w:val="Normal"/>
        <w:rPr>
          <w:sz w:val="22"/>
        </w:rPr>
      </w:pPr>
      <w:r>
        <w:rPr>
          <w:sz w:val="22"/>
        </w:rPr>
      </w:r>
    </w:p>
    <w:p>
      <w:pPr>
        <w:pStyle w:val="Heading1"/>
        <w:ind w:hanging="0" w:start="0"/>
        <w:rPr/>
      </w:pPr>
      <w:r>
        <w:rPr/>
        <w:t>Key Risks</w:t>
      </w:r>
    </w:p>
    <w:p>
      <w:pPr>
        <w:pStyle w:val="Normal"/>
        <w:autoSpaceDE w:val="false"/>
        <w:ind w:hanging="720" w:start="720" w:end="0"/>
        <w:rPr/>
      </w:pPr>
      <w:r>
        <w:rPr>
          <w:sz w:val="22"/>
          <w:szCs w:val="20"/>
        </w:rPr>
        <w:t>1.</w:t>
        <w:tab/>
      </w:r>
      <w:r>
        <w:rPr>
          <w:b/>
          <w:bCs/>
          <w:i/>
          <w:iCs/>
          <w:sz w:val="22"/>
          <w:szCs w:val="20"/>
        </w:rPr>
        <w:t>Retroactive Suspension of DA Contracts:</w:t>
      </w:r>
      <w:r>
        <w:rPr>
          <w:sz w:val="22"/>
          <w:szCs w:val="20"/>
        </w:rPr>
        <w:t xml:space="preserve">  The PUC rules in a subsequent decision that DA is suspended on some date between July 1 and September 20th.  </w:t>
      </w:r>
    </w:p>
    <w:p>
      <w:pPr>
        <w:pStyle w:val="Normal"/>
        <w:autoSpaceDE w:val="false"/>
        <w:rPr>
          <w:sz w:val="22"/>
          <w:szCs w:val="20"/>
        </w:rPr>
      </w:pPr>
      <w:r>
        <w:rPr>
          <w:sz w:val="22"/>
          <w:szCs w:val="20"/>
        </w:rPr>
      </w:r>
    </w:p>
    <w:p>
      <w:pPr>
        <w:pStyle w:val="Normal"/>
        <w:autoSpaceDE w:val="false"/>
        <w:ind w:hanging="720" w:start="720" w:end="0"/>
        <w:rPr/>
      </w:pPr>
      <w:r>
        <w:rPr>
          <w:sz w:val="22"/>
          <w:szCs w:val="20"/>
        </w:rPr>
        <w:t>2.</w:t>
      </w:r>
      <w:r>
        <w:rPr>
          <w:b/>
          <w:bCs/>
          <w:sz w:val="22"/>
          <w:szCs w:val="20"/>
        </w:rPr>
        <w:tab/>
      </w:r>
      <w:r>
        <w:rPr>
          <w:b/>
          <w:bCs/>
          <w:i/>
          <w:iCs/>
          <w:sz w:val="22"/>
          <w:szCs w:val="20"/>
        </w:rPr>
        <w:t>Contract renewal forbidden:</w:t>
      </w:r>
      <w:r>
        <w:rPr>
          <w:sz w:val="22"/>
          <w:szCs w:val="20"/>
        </w:rPr>
        <w:t xml:space="preserve">  The PUC includes contract renewal under the suspension of DA.</w:t>
      </w:r>
    </w:p>
    <w:p>
      <w:pPr>
        <w:pStyle w:val="Normal"/>
        <w:autoSpaceDE w:val="false"/>
        <w:rPr>
          <w:sz w:val="22"/>
          <w:szCs w:val="20"/>
        </w:rPr>
      </w:pPr>
      <w:r>
        <w:rPr>
          <w:sz w:val="22"/>
          <w:szCs w:val="20"/>
        </w:rPr>
      </w:r>
    </w:p>
    <w:p>
      <w:pPr>
        <w:pStyle w:val="Normal"/>
        <w:autoSpaceDE w:val="false"/>
        <w:ind w:hanging="720" w:start="720" w:end="0"/>
        <w:rPr/>
      </w:pPr>
      <w:r>
        <w:rPr>
          <w:sz w:val="22"/>
          <w:szCs w:val="20"/>
        </w:rPr>
        <w:t>3.</w:t>
        <w:tab/>
      </w:r>
      <w:r>
        <w:rPr>
          <w:b/>
          <w:bCs/>
          <w:i/>
          <w:iCs/>
          <w:sz w:val="22"/>
          <w:szCs w:val="20"/>
        </w:rPr>
        <w:t>No incremental "DASR'ing"</w:t>
      </w:r>
      <w:r>
        <w:rPr>
          <w:sz w:val="22"/>
          <w:szCs w:val="20"/>
        </w:rPr>
        <w:t>:  The PUC includes incremental additions and subtractions of DA customer's load under the suspension of DA (e.g., fast food chains, UC and CSU campuses)</w:t>
      </w:r>
    </w:p>
    <w:p>
      <w:pPr>
        <w:pStyle w:val="Normal"/>
        <w:autoSpaceDE w:val="false"/>
        <w:rPr>
          <w:sz w:val="22"/>
          <w:szCs w:val="20"/>
        </w:rPr>
      </w:pPr>
      <w:r>
        <w:rPr>
          <w:sz w:val="22"/>
          <w:szCs w:val="20"/>
        </w:rPr>
      </w:r>
    </w:p>
    <w:p>
      <w:pPr>
        <w:pStyle w:val="Normal"/>
        <w:autoSpaceDE w:val="false"/>
        <w:ind w:hanging="720" w:start="720" w:end="0"/>
        <w:rPr/>
      </w:pPr>
      <w:r>
        <w:rPr>
          <w:sz w:val="22"/>
          <w:szCs w:val="20"/>
        </w:rPr>
        <w:t>4.</w:t>
        <w:tab/>
      </w:r>
      <w:r>
        <w:rPr>
          <w:b/>
          <w:bCs/>
          <w:i/>
          <w:iCs/>
          <w:sz w:val="22"/>
          <w:szCs w:val="20"/>
        </w:rPr>
        <w:t>Cost allocation</w:t>
      </w:r>
      <w:r>
        <w:rPr>
          <w:sz w:val="22"/>
          <w:szCs w:val="20"/>
        </w:rPr>
        <w:t xml:space="preserve">: The PUC adds new costs to DA accounts and/or disproportionately shifts existing costs to DA accounts.  Costs with the greatest risk of being shifted to DA customers include: IOU undercollection, bonds to repay the state general </w:t>
      </w:r>
      <w:r>
        <w:rPr>
          <w:b/>
          <w:bCs/>
          <w:i/>
          <w:iCs/>
          <w:color w:val="0000FF"/>
          <w:sz w:val="22"/>
          <w:szCs w:val="20"/>
        </w:rPr>
        <w:tab/>
      </w:r>
      <w:r>
        <w:rPr>
          <w:sz w:val="22"/>
          <w:szCs w:val="20"/>
        </w:rPr>
        <w:t xml:space="preserve">fund, and DWR contracts.  The costs associated with these categories are substantial. </w:t>
      </w:r>
    </w:p>
    <w:p>
      <w:pPr>
        <w:pStyle w:val="Normal"/>
        <w:autoSpaceDE w:val="false"/>
        <w:ind w:hanging="720" w:start="720" w:end="0"/>
        <w:rPr>
          <w:sz w:val="22"/>
          <w:szCs w:val="20"/>
        </w:rPr>
      </w:pPr>
      <w:r>
        <w:rPr>
          <w:sz w:val="22"/>
          <w:szCs w:val="20"/>
        </w:rPr>
      </w:r>
    </w:p>
    <w:p>
      <w:pPr>
        <w:pStyle w:val="Normal"/>
        <w:autoSpaceDE w:val="false"/>
        <w:ind w:hanging="720" w:start="720" w:end="0"/>
        <w:rPr/>
      </w:pPr>
      <w:r>
        <w:rPr>
          <w:sz w:val="22"/>
          <w:szCs w:val="20"/>
        </w:rPr>
        <w:t>5.</w:t>
        <w:tab/>
      </w:r>
      <w:r>
        <w:rPr>
          <w:b/>
          <w:bCs/>
          <w:i/>
          <w:iCs/>
          <w:sz w:val="22"/>
          <w:szCs w:val="20"/>
        </w:rPr>
        <w:t>Retroactive end to rate freeze</w:t>
      </w:r>
      <w:r>
        <w:rPr>
          <w:sz w:val="22"/>
          <w:szCs w:val="20"/>
        </w:rPr>
        <w:t>: The utilities assert that the rate freeze ended as far back as May 2000 and have sued the PUC in court, asking the court to direct the PUC to end it. Edison dropped its suit as part of 10.03 agreement with PUC.</w:t>
      </w:r>
    </w:p>
    <w:p>
      <w:pPr>
        <w:pStyle w:val="Normal"/>
        <w:autoSpaceDE w:val="false"/>
        <w:rPr>
          <w:sz w:val="22"/>
          <w:szCs w:val="20"/>
        </w:rPr>
      </w:pPr>
      <w:r>
        <w:rPr>
          <w:sz w:val="22"/>
          <w:szCs w:val="20"/>
        </w:rPr>
      </w:r>
    </w:p>
    <w:p>
      <w:pPr>
        <w:pStyle w:val="Normal"/>
        <w:autoSpaceDE w:val="false"/>
        <w:rPr>
          <w:sz w:val="22"/>
          <w:szCs w:val="20"/>
        </w:rPr>
      </w:pPr>
      <w:r>
        <w:rPr>
          <w:sz w:val="22"/>
          <w:szCs w:val="20"/>
        </w:rPr>
        <w:t>Additional suggestions from outside counsel:</w:t>
      </w:r>
    </w:p>
    <w:p>
      <w:pPr>
        <w:pStyle w:val="Normal"/>
        <w:autoSpaceDE w:val="false"/>
        <w:rPr>
          <w:sz w:val="22"/>
          <w:szCs w:val="20"/>
        </w:rPr>
      </w:pPr>
      <w:r>
        <w:rPr>
          <w:sz w:val="22"/>
          <w:szCs w:val="20"/>
        </w:rPr>
      </w:r>
    </w:p>
    <w:p>
      <w:pPr>
        <w:pStyle w:val="Normal"/>
        <w:autoSpaceDE w:val="false"/>
        <w:ind w:hanging="720" w:start="720" w:end="0"/>
        <w:rPr/>
      </w:pPr>
      <w:r>
        <w:rPr>
          <w:sz w:val="22"/>
          <w:szCs w:val="20"/>
        </w:rPr>
        <w:t>6.</w:t>
        <w:tab/>
      </w:r>
      <w:r>
        <w:rPr>
          <w:b/>
          <w:bCs/>
          <w:i/>
          <w:iCs/>
          <w:sz w:val="22"/>
          <w:szCs w:val="20"/>
        </w:rPr>
        <w:t>DASR processing</w:t>
      </w:r>
      <w:r>
        <w:rPr>
          <w:sz w:val="22"/>
          <w:szCs w:val="20"/>
        </w:rPr>
        <w:t xml:space="preserve"> :  If the utilities attempt to implement the Commission-ordered suspension in an onerous way, it may put at risk contracts executed prior to 09.20.01 but not yet DASR'd.</w:t>
      </w:r>
    </w:p>
    <w:p>
      <w:pPr>
        <w:pStyle w:val="Normal"/>
        <w:autoSpaceDE w:val="false"/>
        <w:rPr>
          <w:sz w:val="22"/>
          <w:szCs w:val="20"/>
        </w:rPr>
      </w:pPr>
      <w:r>
        <w:rPr>
          <w:sz w:val="22"/>
          <w:szCs w:val="20"/>
        </w:rPr>
      </w:r>
    </w:p>
    <w:p>
      <w:pPr>
        <w:pStyle w:val="Normal"/>
        <w:autoSpaceDE w:val="false"/>
        <w:ind w:hanging="720" w:start="720" w:end="0"/>
        <w:rPr/>
      </w:pPr>
      <w:r>
        <w:rPr>
          <w:sz w:val="22"/>
          <w:szCs w:val="20"/>
        </w:rPr>
        <w:t>7.</w:t>
        <w:tab/>
      </w:r>
      <w:r>
        <w:rPr>
          <w:b/>
          <w:bCs/>
          <w:i/>
          <w:iCs/>
          <w:sz w:val="22"/>
          <w:szCs w:val="20"/>
        </w:rPr>
        <w:t>Confidentiality of contract information</w:t>
      </w:r>
      <w:r>
        <w:rPr>
          <w:sz w:val="22"/>
          <w:szCs w:val="20"/>
        </w:rPr>
        <w:t>:  The utilities and/or the PUC may require ESPs to show contracts as proof that contracts were executed prior to 09.20.01.</w:t>
      </w:r>
    </w:p>
    <w:p>
      <w:pPr>
        <w:pStyle w:val="Normal"/>
        <w:rPr>
          <w:sz w:val="22"/>
          <w:szCs w:val="20"/>
        </w:rPr>
      </w:pPr>
      <w:r>
        <w:rPr>
          <w:sz w:val="22"/>
          <w:szCs w:val="20"/>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440"/>
        </w:tabs>
        <w:ind w:start="1440" w:hanging="360"/>
      </w:pPr>
      <w:rPr>
        <w:rFonts w:ascii="Wingdings" w:hAnsi="Wingdings" w:cs="Wingdings" w:hint="default"/>
      </w:rPr>
    </w:lvl>
  </w:abstractNum>
  <w:num w:numId="1">
    <w:abstractNumId w:val="1"/>
  </w:num>
  <w:num w:numId="2">
    <w:abstractNumId w:val="2"/>
  </w:num>
</w:numbering>
</file>

<file path=word/settings.xml><?xml version="1.0" encoding="utf-8"?>
<w:settings xmlns:w="http://schemas.openxmlformats.org/wordprocessingml/2006/main">
  <w:zoom w:percent="88"/>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i/>
      <w:iCs/>
      <w:sz w:val="22"/>
    </w:rPr>
  </w:style>
  <w:style w:type="character" w:styleId="WW8Num2z0">
    <w:name w:val="WW8Num2z0"/>
    <w:qFormat/>
    <w:rPr>
      <w:rFonts w:ascii="Wingdings" w:hAnsi="Wingdings" w:cs="Wingdings"/>
    </w:rPr>
  </w:style>
  <w:style w:type="character" w:styleId="WW8Num2z1">
    <w:name w:val="WW8Num2z1"/>
    <w:qFormat/>
    <w:rPr>
      <w:rFonts w:ascii="Courier New" w:hAnsi="Courier New" w:cs="Courier New"/>
    </w:rPr>
  </w:style>
  <w:style w:type="character" w:styleId="WW8Num2z3">
    <w:name w:val="WW8Num2z3"/>
    <w:qFormat/>
    <w:rPr>
      <w:rFonts w:ascii="Symbol" w:hAnsi="Symbol" w:cs="Symbol"/>
    </w:rPr>
  </w:style>
  <w:style w:type="character" w:styleId="WW8Num3z0">
    <w:name w:val="WW8Num3z0"/>
    <w:qFormat/>
    <w:rPr>
      <w:rFonts w:ascii="Wingdings" w:hAnsi="Wingdings" w:cs="Wingdings"/>
    </w:rPr>
  </w:style>
  <w:style w:type="character" w:styleId="WW8Num3z1">
    <w:name w:val="WW8Num3z1"/>
    <w:qFormat/>
    <w:rPr>
      <w:rFonts w:ascii="Courier New" w:hAnsi="Courier New" w:cs="Courier New"/>
    </w:rPr>
  </w:style>
  <w:style w:type="character" w:styleId="WW8Num3z3">
    <w:name w:val="WW8Num3z3"/>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jc w:val="center"/>
    </w:pPr>
    <w:rPr>
      <w:b/>
      <w:bCs/>
      <w:i/>
      <w:iC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2001-10-03T21:04:00Z</dcterms:created>
  <dc:creator>jdasovic</dc:creator>
  <dc:description/>
  <dc:language>en-CA</dc:language>
  <cp:lastModifiedBy>jdasovic</cp:lastModifiedBy>
  <dcterms:modified xsi:type="dcterms:W3CDTF">2001-10-03T21:31:00Z</dcterms:modified>
  <cp:revision>5</cp:revision>
  <dc:subject/>
  <dc:title> DRAFT AGENDA</dc:title>
</cp:coreProperties>
</file>