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pPr>
      <w:r>
        <w:rPr>
          <w:b/>
        </w:rPr>
        <w:t xml:space="preserve">BEFORE THE </w:t>
      </w:r>
      <w:r>
        <w:rPr>
          <w:b/>
          <w:bCs/>
        </w:rPr>
        <w:t>FEDERAL ENERGY REGULATORY COMMISSION</w:t>
      </w:r>
    </w:p>
    <w:p>
      <w:pPr>
        <w:pStyle w:val="Normal"/>
        <w:tabs>
          <w:tab w:val="left" w:pos="720" w:leader="none"/>
        </w:tabs>
        <w:autoSpaceDE w:val="false"/>
        <w:ind w:start="1080" w:end="0"/>
        <w:rPr>
          <w:b/>
          <w:bCs/>
        </w:rPr>
      </w:pPr>
      <w:r>
        <w:rPr>
          <w:b/>
          <w:bCs/>
        </w:rPr>
      </w:r>
    </w:p>
    <w:p>
      <w:pPr>
        <w:pStyle w:val="Normal"/>
        <w:rPr/>
      </w:pPr>
      <w:r>
        <w:rPr/>
        <w:t>San Diego Gas &amp; Electric Company</w:t>
        <w:tab/>
        <w:tab/>
        <w:t>)</w:t>
        <w:tab/>
        <w:t>Docket No. EL00-95-000</w:t>
      </w:r>
    </w:p>
    <w:p>
      <w:pPr>
        <w:pStyle w:val="Normal"/>
        <w:numPr>
          <w:ilvl w:val="0"/>
          <w:numId w:val="2"/>
        </w:numPr>
        <w:rPr/>
      </w:pPr>
      <w:r>
        <w:rPr/>
        <w:t>)</w:t>
        <w:tab/>
        <w:tab/>
        <w:t>EL00-95-002</w:t>
      </w:r>
    </w:p>
    <w:p>
      <w:pPr>
        <w:pStyle w:val="Normal"/>
        <w:rPr/>
      </w:pPr>
      <w:r>
        <w:rPr/>
        <w:t>All Jurisdictional Sellers of Energy</w:t>
        <w:tab/>
        <w:tab/>
        <w:t>)</w:t>
        <w:tab/>
        <w:tab/>
        <w:t>EL00-95-003</w:t>
      </w:r>
    </w:p>
    <w:p>
      <w:pPr>
        <w:pStyle w:val="Normal"/>
        <w:rPr/>
      </w:pPr>
      <w:r>
        <w:rPr/>
        <w:t xml:space="preserve">and Ancillary Services Into the Energy </w:t>
        <w:tab/>
        <w:t>)</w:t>
      </w:r>
    </w:p>
    <w:p>
      <w:pPr>
        <w:pStyle w:val="Normal"/>
        <w:rPr/>
      </w:pPr>
      <w:r>
        <w:rPr/>
        <w:t xml:space="preserve">and Ancillary Services Markets Operated </w:t>
        <w:tab/>
        <w:t>)</w:t>
      </w:r>
    </w:p>
    <w:p>
      <w:pPr>
        <w:pStyle w:val="Normal"/>
        <w:rPr/>
      </w:pPr>
      <w:r>
        <w:rPr/>
        <w:t>by the California Independent System</w:t>
        <w:tab/>
        <w:t>)</w:t>
      </w:r>
    </w:p>
    <w:p>
      <w:pPr>
        <w:pStyle w:val="Normal"/>
        <w:rPr/>
      </w:pPr>
      <w:r>
        <w:rPr/>
        <w:t xml:space="preserve">Operator Corporation and the California </w:t>
        <w:tab/>
        <w:t>)</w:t>
      </w:r>
    </w:p>
    <w:p>
      <w:pPr>
        <w:pStyle w:val="Normal"/>
        <w:rPr/>
      </w:pPr>
      <w:r>
        <w:rPr/>
        <w:t>Power Exchange;</w:t>
        <w:tab/>
        <w:tab/>
        <w:tab/>
        <w:tab/>
        <w:t>)</w:t>
      </w:r>
    </w:p>
    <w:p>
      <w:pPr>
        <w:pStyle w:val="Normal"/>
        <w:rPr/>
      </w:pPr>
      <w:r>
        <w:rPr/>
        <w:tab/>
        <w:tab/>
        <w:tab/>
        <w:tab/>
        <w:tab/>
        <w:tab/>
        <w:t>)</w:t>
      </w:r>
    </w:p>
    <w:p>
      <w:pPr>
        <w:pStyle w:val="Normal"/>
        <w:rPr/>
      </w:pPr>
      <w:r>
        <w:rPr/>
        <w:t>Investigation of Practices of the California</w:t>
        <w:tab/>
        <w:t xml:space="preserve">) </w:t>
        <w:tab/>
        <w:t>Docket No. EL00-98-000</w:t>
      </w:r>
    </w:p>
    <w:p>
      <w:pPr>
        <w:pStyle w:val="Normal"/>
        <w:rPr/>
      </w:pPr>
      <w:r>
        <w:rPr/>
        <w:t xml:space="preserve">Independent System Operator and the </w:t>
        <w:tab/>
        <w:t>)</w:t>
        <w:tab/>
        <w:tab/>
        <w:t>EL00-98-002</w:t>
      </w:r>
    </w:p>
    <w:p>
      <w:pPr>
        <w:pStyle w:val="Normal"/>
        <w:rPr/>
      </w:pPr>
      <w:r>
        <w:rPr/>
        <w:t>California Power Exchange;</w:t>
        <w:tab/>
        <w:tab/>
        <w:tab/>
        <w:t>)</w:t>
        <w:tab/>
        <w:tab/>
        <w:t>EL00-98-003</w:t>
      </w:r>
    </w:p>
    <w:p>
      <w:pPr>
        <w:pStyle w:val="Normal"/>
        <w:rPr/>
      </w:pPr>
      <w:r>
        <w:rPr/>
        <w:tab/>
        <w:tab/>
        <w:tab/>
        <w:tab/>
        <w:tab/>
        <w:tab/>
        <w:t>)</w:t>
      </w:r>
    </w:p>
    <w:p>
      <w:pPr>
        <w:pStyle w:val="Normal"/>
        <w:rPr/>
      </w:pPr>
      <w:r>
        <w:rPr/>
        <w:t>California Electricity Oversight Board</w:t>
        <w:tab/>
        <w:t>)</w:t>
        <w:tab/>
        <w:t>Docket No. EL00-104-000</w:t>
      </w:r>
    </w:p>
    <w:p>
      <w:pPr>
        <w:pStyle w:val="Normal"/>
        <w:rPr/>
      </w:pPr>
      <w:r>
        <w:rPr/>
        <w:tab/>
        <w:tab/>
        <w:tab/>
        <w:tab/>
        <w:tab/>
        <w:tab/>
        <w:t>)</w:t>
      </w:r>
    </w:p>
    <w:p>
      <w:pPr>
        <w:pStyle w:val="Normal"/>
        <w:rPr/>
      </w:pPr>
      <w:r>
        <w:rPr/>
        <w:t>Public Meeting in San Diego, California</w:t>
        <w:tab/>
        <w:t>)</w:t>
        <w:tab/>
        <w:t>Docket No. EL00-107-000</w:t>
      </w:r>
    </w:p>
    <w:p>
      <w:pPr>
        <w:pStyle w:val="Normal"/>
        <w:rPr/>
      </w:pPr>
      <w:r>
        <w:rPr/>
        <w:tab/>
        <w:tab/>
        <w:tab/>
        <w:tab/>
        <w:tab/>
        <w:tab/>
        <w:t>)</w:t>
      </w:r>
    </w:p>
    <w:p>
      <w:pPr>
        <w:pStyle w:val="Normal"/>
        <w:rPr/>
      </w:pPr>
      <w:r>
        <w:rPr/>
        <w:t xml:space="preserve">Reliant Energy Power Generation, Inc. </w:t>
        <w:tab/>
        <w:t>)</w:t>
        <w:tab/>
        <w:t>Docket No. EL00-97-000</w:t>
      </w:r>
    </w:p>
    <w:p>
      <w:pPr>
        <w:pStyle w:val="Normal"/>
        <w:rPr/>
      </w:pPr>
      <w:r>
        <w:rPr/>
        <w:tab/>
        <w:t>et al</w:t>
        <w:tab/>
        <w:tab/>
        <w:tab/>
        <w:tab/>
        <w:tab/>
        <w:t>)</w:t>
      </w:r>
    </w:p>
    <w:p>
      <w:pPr>
        <w:pStyle w:val="Normal"/>
        <w:rPr/>
      </w:pPr>
      <w:r>
        <w:rPr/>
        <w:tab/>
        <w:tab/>
        <w:tab/>
        <w:tab/>
        <w:tab/>
        <w:tab/>
        <w:t>)</w:t>
      </w:r>
    </w:p>
    <w:p>
      <w:pPr>
        <w:pStyle w:val="Normal"/>
        <w:rPr/>
      </w:pPr>
      <w:r>
        <w:rPr/>
        <w:t>California Municipal Utilities Assn, et al</w:t>
        <w:tab/>
        <w:t>)</w:t>
        <w:tab/>
        <w:t>Docket No. EL01-1-000</w:t>
      </w:r>
    </w:p>
    <w:p>
      <w:pPr>
        <w:pStyle w:val="Normal"/>
        <w:rPr/>
      </w:pPr>
      <w:r>
        <w:rPr/>
        <w:tab/>
        <w:tab/>
        <w:tab/>
        <w:tab/>
        <w:tab/>
        <w:tab/>
        <w:t>)</w:t>
      </w:r>
    </w:p>
    <w:p>
      <w:pPr>
        <w:pStyle w:val="Normal"/>
        <w:rPr/>
      </w:pPr>
      <w:r>
        <w:rPr/>
        <w:t>Californians for Renewable Energy, Inc.</w:t>
        <w:tab/>
        <w:t>)</w:t>
        <w:tab/>
        <w:t>Docket No. EL01-2-000</w:t>
      </w:r>
    </w:p>
    <w:p>
      <w:pPr>
        <w:pStyle w:val="Normal"/>
        <w:rPr/>
      </w:pPr>
      <w:r>
        <w:rPr/>
        <w:tab/>
        <w:tab/>
        <w:tab/>
        <w:tab/>
        <w:tab/>
        <w:tab/>
        <w:t>)</w:t>
      </w:r>
    </w:p>
    <w:p>
      <w:pPr>
        <w:pStyle w:val="Normal"/>
        <w:rPr/>
      </w:pPr>
      <w:r>
        <w:rPr/>
        <w:t>Puget Sound Energy, Inc.</w:t>
        <w:tab/>
        <w:tab/>
        <w:tab/>
        <w:t>)</w:t>
        <w:tab/>
        <w:t>Docket No. EL01-10-000</w:t>
        <w:tab/>
        <w:tab/>
      </w:r>
    </w:p>
    <w:p>
      <w:pPr>
        <w:pStyle w:val="Normal"/>
        <w:rPr/>
      </w:pPr>
      <w:r>
        <w:rPr/>
      </w:r>
    </w:p>
    <w:p>
      <w:pPr>
        <w:pStyle w:val="Heading3"/>
        <w:rPr>
          <w:bCs/>
        </w:rPr>
      </w:pPr>
      <w:r>
        <w:rPr>
          <w:bCs/>
        </w:rPr>
        <w:t>REQUEST FOR REHEARING</w:t>
      </w:r>
    </w:p>
    <w:p>
      <w:pPr>
        <w:pStyle w:val="Normal"/>
        <w:jc w:val="center"/>
        <w:rPr>
          <w:b/>
          <w:bCs/>
        </w:rPr>
      </w:pPr>
      <w:r>
        <w:rPr>
          <w:b/>
          <w:bCs/>
        </w:rPr>
        <w:t>OF THE INDEPENDENT ENERGY PRODUCERS ASSOCIATION</w:t>
      </w:r>
    </w:p>
    <w:p>
      <w:pPr>
        <w:pStyle w:val="Normal"/>
        <w:rPr>
          <w:b/>
          <w:bCs/>
        </w:rPr>
      </w:pPr>
      <w:r>
        <w:rPr>
          <w:b/>
          <w:bCs/>
        </w:rPr>
      </w:r>
    </w:p>
    <w:p>
      <w:pPr>
        <w:pStyle w:val="Normal"/>
        <w:spacing w:lineRule="auto" w:line="480"/>
        <w:rPr/>
      </w:pPr>
      <w:r>
        <w:rPr>
          <w:b/>
          <w:bCs/>
        </w:rPr>
        <w:tab/>
      </w:r>
      <w:r>
        <w:rPr/>
        <w:t xml:space="preserve">Pursuant to Rule 713, 18 CFR §385.713, the Independent Energy Producers Association (“IEP”) respectfully requests rehearing of the Federal Energy Regulatory Commission (“FERC” or “Commission” ) December 15, 2000 decision in the above captioned proceedings, </w:t>
      </w:r>
      <w:r>
        <w:rPr>
          <w:i/>
          <w:iCs/>
        </w:rPr>
        <w:t>Order Directing Remedies For California Wholesale Electric Markets</w:t>
      </w:r>
      <w:r>
        <w:rPr/>
        <w:t>, 93 FERC ¶ 61,294 (hereinafter “December 15 Order” or “Order”).  As described in greater detail below, IEP believes that the Commission injected unnecessary ambiguities regarding, and erred with respect to its discussion of, the nature of the relationship between the California utilities and Qualifying Facilities (“QFs”) as implemented in California.  IEP respectfully requests that the Commission—at minimum—clarify its statements or, alternatively, undertake rehearing on these specific matters.</w:t>
      </w:r>
    </w:p>
    <w:p>
      <w:pPr>
        <w:pStyle w:val="BodyTextIndent"/>
        <w:numPr>
          <w:ilvl w:val="0"/>
          <w:numId w:val="3"/>
        </w:numPr>
        <w:rPr>
          <w:b/>
          <w:u w:val="single"/>
        </w:rPr>
      </w:pPr>
      <w:r>
        <w:rPr>
          <w:b/>
          <w:u w:val="single"/>
        </w:rPr>
        <w:t>PURPA and Long-Established Avoided Cost Principles Remain the Law</w:t>
      </w:r>
    </w:p>
    <w:p>
      <w:pPr>
        <w:pStyle w:val="BodyTextIndent3"/>
        <w:rPr/>
      </w:pPr>
      <w:r>
        <w:rPr/>
        <w:t>The December 15 Order includes discussion of QF issues in a number of contexts.  IEP believes that the Commission did not intend to imply anywhere in the Order that, in the context of any prospective modifications to California law or regulatory efforts, PURPA was not to apply for QF pricing.  This point is made relatively clear in the December 15 Order by the following passage:</w:t>
      </w:r>
    </w:p>
    <w:p>
      <w:pPr>
        <w:pStyle w:val="doubleindent"/>
        <w:rPr/>
      </w:pPr>
      <w:r>
        <w:rPr/>
        <w:t xml:space="preserve">These changes to the California market structure [e.g., elimination of the mandatory sell requirement and termination of CalPX tariffs] require necessary actions by California authorities in order to determine the </w:t>
      </w:r>
      <w:r>
        <w:rPr>
          <w:b/>
          <w:bCs/>
          <w:i/>
          <w:iCs/>
        </w:rPr>
        <w:t>appropriate avoided cost rate</w:t>
      </w:r>
      <w:r>
        <w:rPr/>
        <w:t xml:space="preserve"> for Cogeneration QF power, a determination, as stated by PURPA, within the purview of the states.  (December 15 Order, page 71.  Emphasis added.)</w:t>
      </w:r>
    </w:p>
    <w:p>
      <w:pPr>
        <w:pStyle w:val="BodyTextIndent2"/>
        <w:rPr/>
      </w:pPr>
      <w:r>
        <w:rPr/>
      </w:r>
    </w:p>
    <w:p>
      <w:pPr>
        <w:pStyle w:val="Normal"/>
        <w:spacing w:lineRule="auto" w:line="480"/>
        <w:rPr/>
      </w:pPr>
      <w:r>
        <w:rPr/>
        <w:tab/>
        <w:t xml:space="preserve">As noted by this statement, pricing for QFs—whether cogenerators or small power production facilities—is dictated by the requirements of PURPA.  California has a long history related to this implementation of PURPA, as the Commission is undoubtedly aware.  The phrase “Cogeneration QF” is used earlier in the Order as distinct from Small Power QF.   While there are federal regulatory elements which rest on the distinction between theses species of QF, the </w:t>
      </w:r>
      <w:r>
        <w:rPr>
          <w:b/>
          <w:bCs/>
          <w:i/>
          <w:iCs/>
        </w:rPr>
        <w:t>requirement</w:t>
      </w:r>
      <w:r>
        <w:rPr/>
        <w:t xml:space="preserve"> that these resources receive </w:t>
      </w:r>
      <w:r>
        <w:rPr>
          <w:b/>
          <w:bCs/>
          <w:i/>
          <w:iCs/>
        </w:rPr>
        <w:t xml:space="preserve">the utility’s avoided cost </w:t>
      </w:r>
      <w:r>
        <w:rPr/>
        <w:t>is not one of the distrinctions.  Therefore, at a minimum, the Commission should clarify that PURPA pricing continues to apply for all QFs.  To the extent such clarification is not made, IEP alleges that the Commission has committed legal error and that rehearing is required.</w:t>
      </w:r>
    </w:p>
    <w:p>
      <w:pPr>
        <w:pStyle w:val="Normal"/>
        <w:spacing w:lineRule="auto" w:line="480"/>
        <w:rPr/>
      </w:pPr>
      <w:r>
        <w:rPr/>
        <w:tab/>
        <w:t>Unfortunately, there are other passages in the Order that concern IEP because they may embolden some parties’ apparent goal to circumvent PURPA’s avoided cost pricing requirements.  We do not believe that was the Commission’s intent, and therefore we point our concerns out so clarifications can be made.  For example in reference to the end of the “mandatory buy/sell” and the pricing of the California utilities’ “retained assets”</w:t>
      </w:r>
      <w:r>
        <w:rPr>
          <w:rStyle w:val="FootnoteCharacters"/>
          <w:rStyle w:val="FootnoteReference"/>
        </w:rPr>
        <w:footnoteReference w:id="2"/>
      </w:r>
      <w:r>
        <w:rPr/>
        <w:t xml:space="preserve"> the December 15 Order states at page 25: </w:t>
      </w:r>
    </w:p>
    <w:p>
      <w:pPr>
        <w:pStyle w:val="doubleindent"/>
        <w:rPr/>
      </w:pPr>
      <w:r>
        <w:rPr/>
        <w:t>This places 25,000 MW of resources [including QF contracts] directly under</w:t>
      </w:r>
    </w:p>
    <w:p>
      <w:pPr>
        <w:pStyle w:val="doubleindent"/>
        <w:rPr/>
      </w:pPr>
      <w:r>
        <w:rPr/>
        <w:t>the jurisdiction of the California Commission. Thus, the California</w:t>
      </w:r>
    </w:p>
    <w:p>
      <w:pPr>
        <w:pStyle w:val="doubleindent"/>
        <w:rPr/>
      </w:pPr>
      <w:r>
        <w:rPr/>
        <w:t>Commission is free to price these MWs at cost or any way it sees fit for</w:t>
      </w:r>
    </w:p>
    <w:p>
      <w:pPr>
        <w:pStyle w:val="doubleindent"/>
        <w:rPr/>
      </w:pPr>
      <w:r>
        <w:rPr/>
        <w:t>setting retail rates.  (December 15 Order, page 25.)</w:t>
      </w:r>
    </w:p>
    <w:p>
      <w:pPr>
        <w:pStyle w:val="doubleindent"/>
        <w:rPr/>
      </w:pPr>
      <w:r>
        <w:rPr/>
      </w:r>
    </w:p>
    <w:p>
      <w:pPr>
        <w:pStyle w:val="Normal"/>
        <w:spacing w:lineRule="auto" w:line="480"/>
        <w:rPr/>
      </w:pPr>
      <w:r>
        <w:rPr/>
        <w:tab/>
        <w:t xml:space="preserve">Put simply, the Commission committed a legal error to the extent that this passage implies that QFs could be paid prices by California “at cost or any way it sees fit….”  As noted above, QF resources provide power to the utilities under the terms of their contracts developed in compliance with PURPA.  PURPA explicitly and unequivocally requires those payments be based on the utilities’ avoided costs, a very particular pricing approach that is unrelated to the QF’s costs.  While the California Commission may now develop lower retail commodity rates based on an alternative approach for utility assets, this is not the case for pre-existing commitments such as the QF contracts.  FERC should, at minimum, clarify that explicit avoided cost pricing requirements continue in force for the QF contract obligations and that the FERC did not intend to imply that existing QF contracts are in any way compromised by this Order.  The Commission should also explicitly note that nothing in the December 15 Order is intended to invite contract abrogation or reversal of California’s implementation of PURPA other than as to the narrow issue of pricing directly tied to the  PX market results.  Absent such clarifications, IEP asserts that FERC has committed legal error to the extent it alleges or implies that the California Commission could price QF power provided to the utilities “at cost or any way it sees fit.” </w:t>
      </w:r>
    </w:p>
    <w:p>
      <w:pPr>
        <w:pStyle w:val="Heading1"/>
        <w:keepLines/>
        <w:spacing w:lineRule="auto" w:line="240"/>
        <w:ind w:hanging="720" w:start="706" w:end="0"/>
        <w:rPr/>
      </w:pPr>
      <w:r>
        <w:rPr/>
        <w:t>FERC’s Emergency Regulation Waiver May Not, Alone, Be Adequate To Allow QF Sales Absent More</w:t>
      </w:r>
    </w:p>
    <w:p>
      <w:pPr>
        <w:pStyle w:val="footnotetex"/>
        <w:keepNext w:val="true"/>
        <w:widowControl/>
        <w:autoSpaceDE w:val="true"/>
        <w:rPr>
          <w:rFonts w:ascii="Times New Roman" w:hAnsi="Times New Roman" w:cs="Times New Roman"/>
        </w:rPr>
      </w:pPr>
      <w:r>
        <w:rPr>
          <w:rFonts w:cs="Times New Roman" w:ascii="Times New Roman" w:hAnsi="Times New Roman"/>
        </w:rPr>
      </w:r>
    </w:p>
    <w:p>
      <w:pPr>
        <w:pStyle w:val="Normal"/>
        <w:spacing w:lineRule="auto" w:line="480"/>
        <w:ind w:firstLine="710" w:end="0"/>
        <w:rPr/>
      </w:pPr>
      <w:r>
        <w:rPr>
          <w:szCs w:val="26"/>
        </w:rPr>
        <w:t>IEP applauds the efforts undertaken by the Commission to encourage QFs to maximize the generation potential from those assets.</w:t>
      </w:r>
      <w:r>
        <w:rPr>
          <w:rStyle w:val="FootnoteCharacters"/>
          <w:rStyle w:val="FootnoteReference"/>
          <w:szCs w:val="26"/>
        </w:rPr>
        <w:footnoteReference w:id="3"/>
      </w:r>
      <w:r>
        <w:rPr>
          <w:szCs w:val="26"/>
        </w:rPr>
        <w:t xml:space="preserve">  However, IEP wishes to point out that the step taken may not be sufficient in all cases for the California QFs.  Specifically, the “standard offer” contracts developed as part of California’s PURPA implementation often include a provision that the QF will “warrant” that it complies with FERC regulations in effect at the time of contracting.  This contractual approach, which is not uncommon, creates an obligation that is distinct from the FERC regulations themselves.  Hence, which FERC may make the emergency waiver it has, absent an explicit, parallel written waiver from the utilities, some QFs could  find unable to take act on the very appropriate step taken by the FERC.  </w:t>
      </w:r>
      <w:r>
        <w:rPr>
          <w:b/>
          <w:bCs/>
          <w:sz w:val="26"/>
          <w:szCs w:val="26"/>
        </w:rPr>
        <w:t>[Do we want more here?]</w:t>
      </w:r>
    </w:p>
    <w:p>
      <w:pPr>
        <w:pStyle w:val="Heading1"/>
        <w:spacing w:lineRule="auto" w:line="240"/>
        <w:rPr/>
      </w:pPr>
      <w:r>
        <w:rPr/>
        <w:t xml:space="preserve">The Commission Should Explicitly Recognize That QF Projects May Not Operate Should Cost Exceed Avoided Cost Payments, Irrespective of State Law Pricing Issues. </w:t>
      </w:r>
    </w:p>
    <w:p>
      <w:pPr>
        <w:pStyle w:val="Normal"/>
        <w:rPr/>
      </w:pPr>
      <w:r>
        <w:rPr/>
      </w:r>
    </w:p>
    <w:p>
      <w:pPr>
        <w:pStyle w:val="Normal"/>
        <w:spacing w:lineRule="auto" w:line="480"/>
        <w:ind w:firstLine="710" w:end="0"/>
        <w:rPr/>
      </w:pPr>
      <w:r>
        <w:rPr/>
        <w:t>The December 15 Order recognizes certain operational and availability issues associated with QF pricing.  Specifically, the Order recognizes an issue raised by Calpine that, under certain circumstances where the QF’s costs exceed the applicable “breakpoint” of $150/MWh the QF units may not run.  Order at 71.  The Commission notes that there are “legitimate concerns regarding the pricing and associated availability” of the QF resources, but then attributes it as “deriv[ing] from the California Public Utilities Code….”  Ibid.</w:t>
      </w:r>
      <w:r>
        <w:rPr>
          <w:rStyle w:val="FootnoteCharacters"/>
          <w:rStyle w:val="FootnoteReference"/>
        </w:rPr>
        <w:footnoteReference w:id="4"/>
      </w:r>
      <w:r>
        <w:rPr/>
        <w:t xml:space="preserve">  </w:t>
      </w:r>
    </w:p>
    <w:p>
      <w:pPr>
        <w:pStyle w:val="Normal"/>
        <w:spacing w:lineRule="auto" w:line="480"/>
        <w:rPr/>
      </w:pPr>
      <w:r>
        <w:rPr/>
        <w:tab/>
        <w:t xml:space="preserve">Irrespective of the California Code sections which provide QFs the opportunity to receive energy prices valued from the marketplace as determined at the CalPX, the fundamental premise remains that QF production cannot be assumed where such production results in losses because the avoided cost energy adopted payment approach is insufficient to cover the QF’s operating costs, including fuel.  The Commission should recognize that fundamental fact which was at the heart of the issues noted in the December 15 Order.  If, however determined in California, the applicable utility avoided cost payments are not sufficient to pay for QF production, consistent with contractual existing obligations, the QF cannot be assumed to be available to supply power.  </w:t>
      </w:r>
    </w:p>
    <w:p>
      <w:pPr>
        <w:pStyle w:val="Heading1"/>
        <w:rPr>
          <w:u w:val="none"/>
        </w:rPr>
      </w:pPr>
      <w:r>
        <w:rPr/>
        <w:t>Conclusion</w:t>
      </w:r>
    </w:p>
    <w:p>
      <w:pPr>
        <w:pStyle w:val="BodyTextIndent3"/>
        <w:rPr/>
      </w:pPr>
      <w:r>
        <w:rPr/>
        <w:t>IEP generally supports the Commission’s efforts to improve the functioning of the California marketplace as evidenced by the December 15 Order.  While there are other areas in the Order that deserve additional clarity (e.g., treatment of opportunity costs, the exact refund standards, etc.), we believe that those matters will be the subject of additional efforts currently underway at the Commission and elsewhere.  We do, however, raise these specific concerns with respect to statements made that could have undesirable and unintended impacts upon the QF community and their ability to continue their continued availability through California’s energy crisis.  Accordingly, IEP requests that the Commission explicitly state that QF pricing continues to be tied to the utilities’ avoided costs consistent with PURPA.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2160" w:start="2160" w:end="0"/>
        <w:jc w:val="both"/>
        <w:rPr/>
      </w:pPr>
      <w:r>
        <w:rPr/>
        <w:t>Dated:  January 16, 2001</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Douglas K. Kerner, of Counsel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16th day of January, 2001.</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/mnt/main-storage/datasets/enron-docs/doc/DRAFT_010116_el00_95_et_al_IEP_Req_Rhrg.doc</w:t>
      </w:r>
      <w:r>
        <w:rPr>
          <w:sz w:val="16"/>
        </w:rPr>
        <w:fldChar w:fldCharType="end"/>
      </w:r>
    </w:p>
    <w:sectPr>
      <w:headerReference w:type="default" r:id="rId2"/>
      <w:footerReference w:type="default" r:id="rId3"/>
      <w:footnotePr>
        <w:numFmt w:val="decimal"/>
      </w:footnotePr>
      <w:type w:val="nextPage"/>
      <w:pgSz w:w="12240" w:h="15840"/>
      <w:pgMar w:left="1440" w:right="1440" w:gutter="0" w:header="72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Retained assets” are those physical generating assets as well as rights to power not voluntarily divested by the utilities.  Examples would include nuclear units currently subject to inventive pricing schemes, hydroelectric assets, thermal facilities located outside California, as well as inter-utility and QF contracts.  See also, December 15 Order, page 40.  </w:t>
      </w:r>
    </w:p>
  </w:footnote>
  <w:footnote w:id="3">
    <w:p>
      <w:pPr>
        <w:pStyle w:val="FootnoteText"/>
        <w:rPr/>
      </w:pPr>
      <w:r>
        <w:rPr>
          <w:rStyle w:val="FootnoteCharacters"/>
        </w:rPr>
        <w:footnoteRef/>
      </w:r>
      <w:r>
        <w:rPr/>
        <w:t xml:space="preserve"> “</w:t>
      </w:r>
      <w:r>
        <w:rPr/>
        <w:t>Also on December 8, 2000, the Commission issued an order waiving certain regulations pertaining to QFs, effective for the period December 8 through December 31, 2000. [Footnote omitted.]  The waiver allows certain QFs to sell their excess production to load location in California through negotiated bilateral contracts to alleviate the inadequate generation resources in California.”  See December 15 Order at 22, 71.</w:t>
      </w:r>
    </w:p>
  </w:footnote>
  <w:footnote w:id="4">
    <w:p>
      <w:pPr>
        <w:pStyle w:val="FootnoteText"/>
        <w:rPr/>
      </w:pPr>
      <w:r>
        <w:rPr>
          <w:rStyle w:val="FootnoteCharacters"/>
        </w:rPr>
        <w:footnoteRef/>
      </w:r>
      <w:r>
        <w:rPr/>
        <w:t xml:space="preserve"> </w:t>
      </w:r>
      <w:r>
        <w:rPr/>
        <w:t>IEP notes that, here too, the distinction between “Cogeneration QFs” and all other types is artificial.  Both cogenerators and small power production facilities potentially face this issue.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5"/>
      <w:numFmt w:val="lowerRoman"/>
      <w:lvlText w:val="%1."/>
      <w:lvlJc w:val="start"/>
      <w:pPr>
        <w:tabs>
          <w:tab w:val="num" w:pos="4320"/>
        </w:tabs>
        <w:ind w:start="4320" w:hanging="2880"/>
      </w:pPr>
      <w:rPr/>
    </w:lvl>
  </w:abstractNum>
  <w:abstractNum w:abstractNumId="3">
    <w:lvl w:ilvl="0">
      <w:start w:val="1"/>
      <w:numFmt w:val="upperRoman"/>
      <w:lvlText w:val="%1."/>
      <w:lvlJc w:val="start"/>
      <w:pPr>
        <w:tabs>
          <w:tab w:val="num" w:pos="720"/>
        </w:tabs>
        <w:ind w:start="720" w:hanging="720"/>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tyle>
  <w:style w:type="paragraph" w:styleId="BodyTextIndent3">
    <w:name w:val="Body Text Indent 3"/>
    <w:basedOn w:val="Normal"/>
    <w:qFormat/>
    <w:pPr>
      <w:spacing w:lineRule="auto" w:line="480"/>
      <w:ind w:firstLine="71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2001-01-10T19:45:00Z</dcterms:created>
  <dc:creator>Andrew Brown</dc:creator>
  <dc:description/>
  <dc:language>en-CA</dc:language>
  <cp:lastModifiedBy>Andrew Brown</cp:lastModifiedBy>
  <cp:lastPrinted>2000-10-31T12:24:00Z</cp:lastPrinted>
  <dcterms:modified xsi:type="dcterms:W3CDTF">2001-01-10T20:01:00Z</dcterms:modified>
  <cp:revision>4</cp:revision>
  <dc:subject/>
  <dc:title>UNITED STATES OF AMERICA</dc:title>
</cp:coreProperties>
</file>