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tab/>
        <w:tab/>
        <w:tab/>
        <w:tab/>
        <w:t>DRAFT:  ATTORNEY CLIENT PRIVILEGE</w:t>
      </w:r>
    </w:p>
    <w:p>
      <w:pPr>
        <w:pStyle w:val="Normal"/>
        <w:rPr/>
      </w:pPr>
      <w:r>
        <w:rPr/>
      </w:r>
    </w:p>
    <w:p>
      <w:pPr>
        <w:pStyle w:val="Normal"/>
        <w:rPr/>
      </w:pPr>
      <w:r>
        <w:rPr/>
        <w:t xml:space="preserve"> </w:t>
      </w:r>
    </w:p>
    <w:p>
      <w:pPr>
        <w:pStyle w:val="Normal"/>
        <w:rPr/>
      </w:pPr>
      <w:r>
        <w:rPr/>
        <w:t>PRIVILEGED AND CONFIDENTIAL:</w:t>
      </w:r>
    </w:p>
    <w:p>
      <w:pPr>
        <w:pStyle w:val="Normal"/>
        <w:rPr/>
      </w:pPr>
      <w:r>
        <w:rPr/>
        <w:t>PREPARED IN ANTICIPATION OF SETTLEMENT</w:t>
      </w:r>
    </w:p>
    <w:p>
      <w:pPr>
        <w:pStyle w:val="Normal"/>
        <w:rPr/>
      </w:pPr>
      <w:r>
        <w:rPr/>
      </w:r>
    </w:p>
    <w:p>
      <w:pPr>
        <w:pStyle w:val="Normal"/>
        <w:rPr/>
      </w:pPr>
      <w:r>
        <w:rPr/>
        <w:t>Date</w:t>
      </w:r>
    </w:p>
    <w:p>
      <w:pPr>
        <w:pStyle w:val="Normal"/>
        <w:rPr/>
      </w:pPr>
      <w:r>
        <w:rPr/>
      </w:r>
    </w:p>
    <w:p>
      <w:pPr>
        <w:pStyle w:val="Normal"/>
        <w:rPr/>
      </w:pPr>
      <w:r>
        <w:rPr/>
        <w:t>John Gibson</w:t>
      </w:r>
    </w:p>
    <w:p>
      <w:pPr>
        <w:pStyle w:val="Normal"/>
        <w:rPr/>
      </w:pPr>
      <w:r>
        <w:rPr/>
        <w:t>[title and address]</w:t>
      </w:r>
    </w:p>
    <w:p>
      <w:pPr>
        <w:pStyle w:val="Normal"/>
        <w:rPr/>
      </w:pPr>
      <w:r>
        <w:rPr/>
      </w:r>
    </w:p>
    <w:p>
      <w:pPr>
        <w:pStyle w:val="Normal"/>
        <w:rPr/>
      </w:pPr>
      <w:r>
        <w:rPr/>
      </w:r>
    </w:p>
    <w:p>
      <w:pPr>
        <w:pStyle w:val="Normal"/>
        <w:rPr/>
      </w:pPr>
      <w:r>
        <w:rPr/>
        <w:t>Re:  Bushton Measurement Agreement</w:t>
      </w:r>
    </w:p>
    <w:p>
      <w:pPr>
        <w:pStyle w:val="Normal"/>
        <w:rPr/>
      </w:pPr>
      <w:r>
        <w:rPr/>
      </w:r>
    </w:p>
    <w:p>
      <w:pPr>
        <w:pStyle w:val="Normal"/>
        <w:rPr/>
      </w:pPr>
      <w:r>
        <w:rPr/>
        <w:t>Dear John</w:t>
      </w:r>
      <w:r>
        <w:rPr>
          <w:sz w:val="24"/>
        </w:rPr>
        <w:t>,</w:t>
      </w:r>
    </w:p>
    <w:p>
      <w:pPr>
        <w:pStyle w:val="Normal"/>
        <w:rPr>
          <w:sz w:val="24"/>
        </w:rPr>
      </w:pPr>
      <w:r>
        <w:rPr>
          <w:sz w:val="24"/>
        </w:rPr>
      </w:r>
    </w:p>
    <w:p>
      <w:pPr>
        <w:pStyle w:val="BodyText"/>
        <w:rPr/>
      </w:pPr>
      <w:r>
        <w:rPr/>
        <w:t xml:space="preserve">As you are aware, OneOk Field Services (OFS) and Northern Natural Gas Company (Northern) are involved in a dispute under the Bushton Gas Processing Measurement Procedures agreement dated March 31, 1997 (the Measurement Agreement).  This dispute was initiated by OFS’ predecessor as owner of the Bushton plant, KN Processing Inc. (KNPI), on July 29, 1999.  KNPI disputed Northern’s position that the Measurement Agreement  requires use of the multipath ultrasonic meters (the New Meters).  Now, through my conversation with you last week and a letter from Steve Winston to Mary Kay Miller dated November 3, 2000, we have learned that OFS also disputes the accuracy of the New Meters.  </w:t>
      </w:r>
    </w:p>
    <w:p>
      <w:pPr>
        <w:pStyle w:val="Normal"/>
        <w:rPr>
          <w:sz w:val="24"/>
        </w:rPr>
      </w:pPr>
      <w:r>
        <w:rPr>
          <w:sz w:val="24"/>
        </w:rPr>
      </w:r>
    </w:p>
    <w:p>
      <w:pPr>
        <w:pStyle w:val="Normal"/>
        <w:rPr/>
      </w:pPr>
      <w:r>
        <w:rPr>
          <w:sz w:val="24"/>
        </w:rPr>
        <w:t xml:space="preserve">Both you and Mr. Winston expressed a clear preference for resolving our measurement issue without litigation.  I share this preference.  For such a resolution to be possible, however, we must agree up front to the scope of the dispute.  If OFS seriously questions the binding nature of the Measurement Agreement, a settlement is unlikely.  The Measurement Agreement provides very clearly that its purpose is to “outline[] the methods that [OFS] and Northern </w:t>
      </w:r>
      <w:r>
        <w:rPr>
          <w:b/>
          <w:sz w:val="24"/>
        </w:rPr>
        <w:t>have agreed to utilize</w:t>
      </w:r>
      <w:r>
        <w:rPr>
          <w:sz w:val="24"/>
        </w:rPr>
        <w:t xml:space="preserve">” regarding measurement at Bushton.  (p. 1, par. 1).  It then states, again with absolute clarity, that “It is the intent of the parties that Northern shall replace the single-path ultrasonic flow meters currently installed at the Inlet and Outlet with AGA-approved multi-path ultrasonic meters.”  (p. 1, par. 2).  KNPI’s argument that it agreed we could </w:t>
      </w:r>
      <w:r>
        <w:rPr>
          <w:b/>
          <w:sz w:val="24"/>
        </w:rPr>
        <w:t xml:space="preserve">install </w:t>
      </w:r>
      <w:r>
        <w:rPr>
          <w:sz w:val="24"/>
        </w:rPr>
        <w:t xml:space="preserve">the New Meters but that we can’t </w:t>
      </w:r>
      <w:r>
        <w:rPr>
          <w:b/>
          <w:sz w:val="24"/>
        </w:rPr>
        <w:t>use</w:t>
      </w:r>
      <w:r>
        <w:rPr>
          <w:sz w:val="24"/>
        </w:rPr>
        <w:t xml:space="preserve"> them until we obtain some further permission from KNPI simply doesn’t square with the language or intent of the Measurement Agreement.  When OFS bought KNPI, it bought all legally valid contracts of KNPI, including the Measurement Agreement.  I expect OFS to honor that agreement by abandoning the dispute initiated by KNPI.  If you are not prepared to do so, Northern will have no choice but to proceed with arbitration on that issue. </w:t>
      </w:r>
    </w:p>
    <w:p>
      <w:pPr>
        <w:pStyle w:val="Normal"/>
        <w:rPr>
          <w:sz w:val="24"/>
        </w:rPr>
      </w:pPr>
      <w:r>
        <w:rPr>
          <w:sz w:val="24"/>
        </w:rPr>
      </w:r>
    </w:p>
    <w:p>
      <w:pPr>
        <w:pStyle w:val="Normal"/>
        <w:rPr>
          <w:sz w:val="24"/>
        </w:rPr>
      </w:pPr>
      <w:r>
        <w:rPr>
          <w:sz w:val="24"/>
        </w:rPr>
        <w:t>In contrast with the issue raised by KNPI, I view the issue of accuracy of the New Meters as one on which reasonable people can, in good faith, disagree.  I believe the New Meters are accurate, and would be confirmed to be accurate by thorough testing.  I also understand that the Measurement Agreement provides OFS with specific rights to have the accuracy of those meters independently verified.  Accordingly, while we certainly do not agree with the characterizations in Mr. Winston’s letter about what KN and OFS did or did not agree to, or with his assertion that Northern owes OFS $3.6 million, I agree with his suggestion that we should use an independent party to help resolve our disagreement about the accuracy of the New Meters.  Rather than defer resolution of the dispute to your retained consultant, I would propose that we jointly retain a recognized, independent expert in the field of gas measurement to analyze the accuracy of the New Meters pursuant to section 2.e of the Measurement Agreement.  That section allows for a “special test” of the measuring equipment at Bushton in which the owner of the meters shall bear the expense of the testing if the meters are found to be in error by more than 1%.  To avoid any ambiguity, I propose that the following specific approach be used for this “special test:”</w:t>
      </w:r>
    </w:p>
    <w:p>
      <w:pPr>
        <w:pStyle w:val="Normal"/>
        <w:rPr>
          <w:sz w:val="24"/>
        </w:rPr>
      </w:pPr>
      <w:r>
        <w:rPr>
          <w:sz w:val="24"/>
        </w:rPr>
      </w:r>
    </w:p>
    <w:p>
      <w:pPr>
        <w:pStyle w:val="Normal"/>
        <w:numPr>
          <w:ilvl w:val="0"/>
          <w:numId w:val="1"/>
        </w:numPr>
        <w:rPr>
          <w:sz w:val="24"/>
        </w:rPr>
      </w:pPr>
      <w:r>
        <w:rPr>
          <w:sz w:val="24"/>
        </w:rPr>
        <w:t>Northern and OFS will jointly identify, retain and pay a measurement expert to evaluate the meters.  Other than the cost of this expert, all other costs related to this special test will be paid by either OFS or Northern as set out below.</w:t>
      </w:r>
    </w:p>
    <w:p>
      <w:pPr>
        <w:pStyle w:val="Normal"/>
        <w:rPr>
          <w:sz w:val="24"/>
        </w:rPr>
      </w:pPr>
      <w:r>
        <w:rPr>
          <w:sz w:val="24"/>
        </w:rPr>
      </w:r>
    </w:p>
    <w:p>
      <w:pPr>
        <w:pStyle w:val="Normal"/>
        <w:numPr>
          <w:ilvl w:val="0"/>
          <w:numId w:val="1"/>
        </w:numPr>
        <w:rPr>
          <w:sz w:val="24"/>
        </w:rPr>
      </w:pPr>
      <w:r>
        <w:rPr>
          <w:sz w:val="24"/>
        </w:rPr>
        <w:t xml:space="preserve">If the meters are found to be in error by more than 1%, a “BTU measurement error” under the Measurement Agreement will be deemed to exist.  Northern will be responsible for all costs of the testing other than the cost of the expert (which will be jointly paid).  The PTR measurement will be used to determine the proper balance under OBA #_______ for the six month period prior to the November 3, 2000 date of Steve Winston’s letter.  </w:t>
      </w:r>
      <w:r>
        <w:rPr>
          <w:b/>
          <w:sz w:val="24"/>
        </w:rPr>
        <w:t xml:space="preserve">[We need to decide how far back the PTR method will be used in the event of an error.  See Section 2.c of the Measurement Agreement.  OFS will argue the appropriate period goes back all the way to March of 97, because KN put Northern on notice that it didn’t like the new meters within 6 months of the transaction.  Alternately, they’ll argue that Carter Mathies’ July, 99 letter put us on notice]. </w:t>
      </w:r>
      <w:r>
        <w:rPr>
          <w:sz w:val="24"/>
        </w:rPr>
        <w:t xml:space="preserve"> The meters will be deemed accurate for the period prior to that six month period and OFS shall promptly tender all amounts due Northern under that OBA for periods prior to that six month period.  The meters will be recalibrated to the highest level of accuracy practically achievable, and used on a going forward basis. </w:t>
      </w:r>
    </w:p>
    <w:p>
      <w:pPr>
        <w:pStyle w:val="Normal"/>
        <w:rPr>
          <w:sz w:val="24"/>
        </w:rPr>
      </w:pPr>
      <w:r>
        <w:rPr>
          <w:sz w:val="24"/>
        </w:rPr>
      </w:r>
    </w:p>
    <w:p>
      <w:pPr>
        <w:pStyle w:val="Normal"/>
        <w:numPr>
          <w:ilvl w:val="0"/>
          <w:numId w:val="1"/>
        </w:numPr>
        <w:rPr>
          <w:b/>
          <w:sz w:val="24"/>
        </w:rPr>
      </w:pPr>
      <w:r>
        <w:rPr>
          <w:sz w:val="24"/>
        </w:rPr>
        <w:t xml:space="preserve">If the meters are found to be in error by less than 1%, they will be deemed accurate for the past period.  OFS will, in addition to paying for all costs of the special test other than the expert, promptly pay to Northern all outstanding amounts due under OBA #_______.   The meters will be recalibrated to the highest level of accuracy practicably achievable, and will be used on a going forward basis.  </w:t>
      </w:r>
      <w:r>
        <w:rPr>
          <w:b/>
          <w:sz w:val="24"/>
        </w:rPr>
        <w:t xml:space="preserve">[We need to discuss the use of 1% as the “no harm, no foul” standard.  Also, the agreement is ambiguous on how error is to be defined and whether it is determined by reference to PTR (like it is for the old meters) or by some other standard. Should we explain our position on each of these issues in this letter?]  </w:t>
      </w:r>
    </w:p>
    <w:p>
      <w:pPr>
        <w:pStyle w:val="Normal"/>
        <w:rPr>
          <w:b/>
          <w:sz w:val="24"/>
        </w:rPr>
      </w:pPr>
      <w:r>
        <w:rPr>
          <w:b/>
          <w:sz w:val="24"/>
        </w:rPr>
      </w:r>
    </w:p>
    <w:p>
      <w:pPr>
        <w:pStyle w:val="Normal"/>
        <w:numPr>
          <w:ilvl w:val="0"/>
          <w:numId w:val="1"/>
        </w:numPr>
        <w:rPr>
          <w:sz w:val="24"/>
        </w:rPr>
      </w:pPr>
      <w:r>
        <w:rPr>
          <w:sz w:val="24"/>
        </w:rPr>
        <w:t xml:space="preserve">Under both of the above two scenarios, the current dispute will be deemed resolved and OFS will be barred from again challenging the binding effect of the Measurement Agreement.  Future issues relating to accuracy of the meters will be governed by the Measurement Agreement. </w:t>
      </w:r>
    </w:p>
    <w:p>
      <w:pPr>
        <w:pStyle w:val="Normal"/>
        <w:rPr>
          <w:sz w:val="24"/>
        </w:rPr>
      </w:pPr>
      <w:r>
        <w:rPr>
          <w:sz w:val="24"/>
        </w:rPr>
      </w:r>
    </w:p>
    <w:p>
      <w:pPr>
        <w:pStyle w:val="Normal"/>
        <w:rPr>
          <w:sz w:val="24"/>
        </w:rPr>
      </w:pPr>
      <w:r>
        <w:rPr>
          <w:sz w:val="24"/>
        </w:rPr>
      </w:r>
    </w:p>
    <w:p>
      <w:pPr>
        <w:pStyle w:val="Normal"/>
        <w:rPr>
          <w:b/>
          <w:sz w:val="24"/>
        </w:rPr>
      </w:pPr>
      <w:r>
        <w:rPr>
          <w:b/>
          <w:sz w:val="24"/>
        </w:rPr>
        <w:t xml:space="preserve">[The above approach trades our willingness to use a third party to resolve the accuracy issue for OFS’s surrender on the KNPI issue.  Does that make sense?   Since we can’t really resist a special test if OFS wants one, we are asking them to unilaterally give up the first issue in exchange for our willingness to arbitrate (sort of) the second issue, which they could force anyway.  We can propose it this way, but we may need to sweeten the deal to make this a credible offer—possibly by agreeing to put a longer retroactive period at risk than the 6 month period defined above.] </w:t>
      </w:r>
    </w:p>
    <w:p>
      <w:pPr>
        <w:pStyle w:val="Normal"/>
        <w:rPr>
          <w:b/>
          <w:sz w:val="24"/>
        </w:rPr>
      </w:pPr>
      <w:r>
        <w:rPr>
          <w:b/>
          <w:sz w:val="24"/>
        </w:rPr>
      </w:r>
    </w:p>
    <w:p>
      <w:pPr>
        <w:pStyle w:val="BodyText"/>
        <w:rPr/>
      </w:pPr>
      <w:r>
        <w:rPr/>
        <w:t>I believe the approach outlined above is fair to both sides and consistent with the procedures for resolving such disputes contained in the Measurement Agreement.  Please contact me at your earliest convenience to discuss this approach.</w:t>
      </w:r>
    </w:p>
    <w:p>
      <w:pPr>
        <w:pStyle w:val="Normal"/>
        <w:rPr>
          <w:sz w:val="24"/>
        </w:rPr>
      </w:pPr>
      <w:r>
        <w:rPr>
          <w:sz w:val="24"/>
        </w:rPr>
      </w:r>
    </w:p>
    <w:p>
      <w:pPr>
        <w:pStyle w:val="Normal"/>
        <w:rPr>
          <w:sz w:val="24"/>
        </w:rPr>
      </w:pPr>
      <w:r>
        <w:rPr>
          <w:sz w:val="24"/>
        </w:rPr>
        <w:t xml:space="preserve">Sincerely, </w:t>
      </w:r>
    </w:p>
    <w:p>
      <w:pPr>
        <w:pStyle w:val="Normal"/>
        <w:rPr>
          <w:sz w:val="24"/>
        </w:rPr>
      </w:pPr>
      <w:r>
        <w:rPr>
          <w:sz w:val="24"/>
        </w:rPr>
      </w:r>
    </w:p>
    <w:p>
      <w:pPr>
        <w:pStyle w:val="Normal"/>
        <w:rPr>
          <w:sz w:val="24"/>
        </w:rPr>
      </w:pPr>
      <w:r>
        <w:rPr>
          <w:sz w:val="24"/>
        </w:rPr>
      </w:r>
    </w:p>
    <w:p>
      <w:pPr>
        <w:pStyle w:val="Normal"/>
        <w:rPr>
          <w:sz w:val="24"/>
        </w:rPr>
      </w:pPr>
      <w:r>
        <w:rPr>
          <w:sz w:val="24"/>
        </w:rPr>
        <w:t xml:space="preserve">Stanley Horton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2000-11-07T00:51:00Z</dcterms:created>
  <dc:creator>Enron</dc:creator>
  <dc:description/>
  <dc:language>en-CA</dc:language>
  <cp:lastModifiedBy>Enron</cp:lastModifiedBy>
  <dcterms:modified xsi:type="dcterms:W3CDTF">2000-11-08T00:13:00Z</dcterms:modified>
  <cp:revision>6</cp:revision>
  <dc:subject/>
  <dc:title/>
</cp:coreProperties>
</file>